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74362D2" w14:textId="26C79B21" w:rsidR="002F2FD1" w:rsidRPr="008800D4" w:rsidRDefault="00D87985" w:rsidP="008800D4">
      <w:pPr>
        <w:rPr>
          <w:rStyle w:val="BookTitle"/>
          <w:b w:val="0"/>
          <w:bCs w:val="0"/>
          <w:i w:val="0"/>
          <w:iCs w:val="0"/>
          <w:spacing w:val="0"/>
        </w:rPr>
      </w:pPr>
      <w:r>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42B76016" wp14:editId="3714B732">
                <wp:simplePos x="0" y="0"/>
                <wp:positionH relativeFrom="page">
                  <wp:posOffset>338455</wp:posOffset>
                </wp:positionH>
                <wp:positionV relativeFrom="page">
                  <wp:posOffset>5066030</wp:posOffset>
                </wp:positionV>
                <wp:extent cx="7168896" cy="4736592"/>
                <wp:effectExtent l="0" t="0" r="0" b="69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8896" cy="4736592"/>
                          <a:chOff x="535" y="7976"/>
                          <a:chExt cx="11290" cy="7457"/>
                        </a:xfrm>
                      </wpg:grpSpPr>
                      <wpg:grpSp>
                        <wpg:cNvPr id="5" name="Group 3"/>
                        <wpg:cNvGrpSpPr>
                          <a:grpSpLocks/>
                        </wpg:cNvGrpSpPr>
                        <wpg:grpSpPr bwMode="auto">
                          <a:xfrm>
                            <a:off x="545" y="9768"/>
                            <a:ext cx="4836" cy="5583"/>
                            <a:chOff x="545" y="9768"/>
                            <a:chExt cx="4836" cy="5583"/>
                          </a:xfrm>
                        </wpg:grpSpPr>
                        <wps:wsp>
                          <wps:cNvPr id="6" name="Freeform 4"/>
                          <wps:cNvSpPr>
                            <a:spLocks/>
                          </wps:cNvSpPr>
                          <wps:spPr bwMode="auto">
                            <a:xfrm>
                              <a:off x="545" y="9768"/>
                              <a:ext cx="4836" cy="5583"/>
                            </a:xfrm>
                            <a:custGeom>
                              <a:avLst/>
                              <a:gdLst>
                                <a:gd name="T0" fmla="+- 0 545 545"/>
                                <a:gd name="T1" fmla="*/ T0 w 4836"/>
                                <a:gd name="T2" fmla="+- 0 9768 9768"/>
                                <a:gd name="T3" fmla="*/ 9768 h 5583"/>
                                <a:gd name="T4" fmla="+- 0 545 545"/>
                                <a:gd name="T5" fmla="*/ T4 w 4836"/>
                                <a:gd name="T6" fmla="+- 0 15351 9768"/>
                                <a:gd name="T7" fmla="*/ 15351 h 5583"/>
                                <a:gd name="T8" fmla="+- 0 5381 545"/>
                                <a:gd name="T9" fmla="*/ T8 w 4836"/>
                                <a:gd name="T10" fmla="+- 0 12559 9768"/>
                                <a:gd name="T11" fmla="*/ 12559 h 5583"/>
                                <a:gd name="T12" fmla="+- 0 545 545"/>
                                <a:gd name="T13" fmla="*/ T12 w 4836"/>
                                <a:gd name="T14" fmla="+- 0 9768 9768"/>
                                <a:gd name="T15" fmla="*/ 9768 h 5583"/>
                              </a:gdLst>
                              <a:ahLst/>
                              <a:cxnLst>
                                <a:cxn ang="0">
                                  <a:pos x="T1" y="T3"/>
                                </a:cxn>
                                <a:cxn ang="0">
                                  <a:pos x="T5" y="T7"/>
                                </a:cxn>
                                <a:cxn ang="0">
                                  <a:pos x="T9" y="T11"/>
                                </a:cxn>
                                <a:cxn ang="0">
                                  <a:pos x="T13" y="T15"/>
                                </a:cxn>
                              </a:cxnLst>
                              <a:rect l="0" t="0" r="r" b="b"/>
                              <a:pathLst>
                                <a:path w="4836" h="5583">
                                  <a:moveTo>
                                    <a:pt x="0" y="0"/>
                                  </a:moveTo>
                                  <a:lnTo>
                                    <a:pt x="0" y="5583"/>
                                  </a:lnTo>
                                  <a:lnTo>
                                    <a:pt x="4836" y="2791"/>
                                  </a:lnTo>
                                  <a:lnTo>
                                    <a:pt x="0"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5381" y="15420"/>
                            <a:ext cx="4" cy="2"/>
                            <a:chOff x="5381" y="15420"/>
                            <a:chExt cx="4" cy="2"/>
                          </a:xfrm>
                        </wpg:grpSpPr>
                        <wps:wsp>
                          <wps:cNvPr id="8" name="Freeform 6"/>
                          <wps:cNvSpPr>
                            <a:spLocks/>
                          </wps:cNvSpPr>
                          <wps:spPr bwMode="auto">
                            <a:xfrm>
                              <a:off x="5381" y="15420"/>
                              <a:ext cx="4" cy="2"/>
                            </a:xfrm>
                            <a:custGeom>
                              <a:avLst/>
                              <a:gdLst>
                                <a:gd name="T0" fmla="+- 0 5381 5381"/>
                                <a:gd name="T1" fmla="*/ T0 w 4"/>
                                <a:gd name="T2" fmla="+- 0 15420 15420"/>
                                <a:gd name="T3" fmla="*/ 15420 h 2"/>
                                <a:gd name="T4" fmla="+- 0 5381 5381"/>
                                <a:gd name="T5" fmla="*/ T4 w 4"/>
                                <a:gd name="T6" fmla="+- 0 15422 15420"/>
                                <a:gd name="T7" fmla="*/ 15422 h 2"/>
                                <a:gd name="T8" fmla="+- 0 5385 5381"/>
                                <a:gd name="T9" fmla="*/ T8 w 4"/>
                                <a:gd name="T10" fmla="+- 0 15422 15420"/>
                                <a:gd name="T11" fmla="*/ 15422 h 2"/>
                                <a:gd name="T12" fmla="+- 0 5381 5381"/>
                                <a:gd name="T13" fmla="*/ T12 w 4"/>
                                <a:gd name="T14" fmla="+- 0 15420 15420"/>
                                <a:gd name="T15" fmla="*/ 15420 h 2"/>
                              </a:gdLst>
                              <a:ahLst/>
                              <a:cxnLst>
                                <a:cxn ang="0">
                                  <a:pos x="T1" y="T3"/>
                                </a:cxn>
                                <a:cxn ang="0">
                                  <a:pos x="T5" y="T7"/>
                                </a:cxn>
                                <a:cxn ang="0">
                                  <a:pos x="T9" y="T11"/>
                                </a:cxn>
                                <a:cxn ang="0">
                                  <a:pos x="T13" y="T15"/>
                                </a:cxn>
                              </a:cxnLst>
                              <a:rect l="0" t="0" r="r" b="b"/>
                              <a:pathLst>
                                <a:path w="4" h="2">
                                  <a:moveTo>
                                    <a:pt x="0" y="0"/>
                                  </a:moveTo>
                                  <a:lnTo>
                                    <a:pt x="0" y="2"/>
                                  </a:lnTo>
                                  <a:lnTo>
                                    <a:pt x="4" y="2"/>
                                  </a:lnTo>
                                  <a:lnTo>
                                    <a:pt x="0" y="0"/>
                                  </a:lnTo>
                                </a:path>
                              </a:pathLst>
                            </a:custGeom>
                            <a:solidFill>
                              <a:srgbClr val="00BD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6984" y="9416"/>
                            <a:ext cx="4831" cy="4574"/>
                            <a:chOff x="6984" y="9416"/>
                            <a:chExt cx="4831" cy="4574"/>
                          </a:xfrm>
                        </wpg:grpSpPr>
                        <wps:wsp>
                          <wps:cNvPr id="10" name="Freeform 8"/>
                          <wps:cNvSpPr>
                            <a:spLocks/>
                          </wps:cNvSpPr>
                          <wps:spPr bwMode="auto">
                            <a:xfrm>
                              <a:off x="6984" y="9416"/>
                              <a:ext cx="4831" cy="4574"/>
                            </a:xfrm>
                            <a:custGeom>
                              <a:avLst/>
                              <a:gdLst>
                                <a:gd name="T0" fmla="+- 0 7859 6984"/>
                                <a:gd name="T1" fmla="*/ T0 w 4831"/>
                                <a:gd name="T2" fmla="+- 0 9416 9416"/>
                                <a:gd name="T3" fmla="*/ 9416 h 4574"/>
                                <a:gd name="T4" fmla="+- 0 6984 6984"/>
                                <a:gd name="T5" fmla="*/ T4 w 4831"/>
                                <a:gd name="T6" fmla="+- 0 9921 9416"/>
                                <a:gd name="T7" fmla="*/ 9921 h 4574"/>
                                <a:gd name="T8" fmla="+- 0 6984 6984"/>
                                <a:gd name="T9" fmla="*/ T8 w 4831"/>
                                <a:gd name="T10" fmla="+- 0 13485 9416"/>
                                <a:gd name="T11" fmla="*/ 13485 h 4574"/>
                                <a:gd name="T12" fmla="+- 0 7859 6984"/>
                                <a:gd name="T13" fmla="*/ T12 w 4831"/>
                                <a:gd name="T14" fmla="+- 0 13990 9416"/>
                                <a:gd name="T15" fmla="*/ 13990 h 4574"/>
                                <a:gd name="T16" fmla="+- 0 11815 6984"/>
                                <a:gd name="T17" fmla="*/ T16 w 4831"/>
                                <a:gd name="T18" fmla="+- 0 11705 9416"/>
                                <a:gd name="T19" fmla="*/ 11705 h 4574"/>
                                <a:gd name="T20" fmla="+- 0 11815 6984"/>
                                <a:gd name="T21" fmla="*/ T20 w 4831"/>
                                <a:gd name="T22" fmla="+- 0 11700 9416"/>
                                <a:gd name="T23" fmla="*/ 11700 h 4574"/>
                                <a:gd name="T24" fmla="+- 0 7859 6984"/>
                                <a:gd name="T25" fmla="*/ T24 w 4831"/>
                                <a:gd name="T26" fmla="+- 0 9416 9416"/>
                                <a:gd name="T27" fmla="*/ 9416 h 4574"/>
                              </a:gdLst>
                              <a:ahLst/>
                              <a:cxnLst>
                                <a:cxn ang="0">
                                  <a:pos x="T1" y="T3"/>
                                </a:cxn>
                                <a:cxn ang="0">
                                  <a:pos x="T5" y="T7"/>
                                </a:cxn>
                                <a:cxn ang="0">
                                  <a:pos x="T9" y="T11"/>
                                </a:cxn>
                                <a:cxn ang="0">
                                  <a:pos x="T13" y="T15"/>
                                </a:cxn>
                                <a:cxn ang="0">
                                  <a:pos x="T17" y="T19"/>
                                </a:cxn>
                                <a:cxn ang="0">
                                  <a:pos x="T21" y="T23"/>
                                </a:cxn>
                                <a:cxn ang="0">
                                  <a:pos x="T25" y="T27"/>
                                </a:cxn>
                              </a:cxnLst>
                              <a:rect l="0" t="0" r="r" b="b"/>
                              <a:pathLst>
                                <a:path w="4831" h="4574">
                                  <a:moveTo>
                                    <a:pt x="875" y="0"/>
                                  </a:moveTo>
                                  <a:lnTo>
                                    <a:pt x="0" y="505"/>
                                  </a:lnTo>
                                  <a:lnTo>
                                    <a:pt x="0" y="4069"/>
                                  </a:lnTo>
                                  <a:lnTo>
                                    <a:pt x="875" y="4574"/>
                                  </a:lnTo>
                                  <a:lnTo>
                                    <a:pt x="4831" y="2289"/>
                                  </a:lnTo>
                                  <a:lnTo>
                                    <a:pt x="4831" y="2284"/>
                                  </a:lnTo>
                                  <a:lnTo>
                                    <a:pt x="875" y="0"/>
                                  </a:lnTo>
                                </a:path>
                              </a:pathLst>
                            </a:custGeom>
                            <a:solidFill>
                              <a:srgbClr val="B3D3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9"/>
                        <wpg:cNvGrpSpPr>
                          <a:grpSpLocks/>
                        </wpg:cNvGrpSpPr>
                        <wpg:grpSpPr bwMode="auto">
                          <a:xfrm>
                            <a:off x="5381" y="12559"/>
                            <a:ext cx="1603" cy="2861"/>
                            <a:chOff x="5381" y="12559"/>
                            <a:chExt cx="1603" cy="2861"/>
                          </a:xfrm>
                        </wpg:grpSpPr>
                        <wps:wsp>
                          <wps:cNvPr id="16" name="Freeform 10"/>
                          <wps:cNvSpPr>
                            <a:spLocks/>
                          </wps:cNvSpPr>
                          <wps:spPr bwMode="auto">
                            <a:xfrm>
                              <a:off x="5381" y="12559"/>
                              <a:ext cx="1603" cy="2861"/>
                            </a:xfrm>
                            <a:custGeom>
                              <a:avLst/>
                              <a:gdLst>
                                <a:gd name="T0" fmla="+- 0 5381 5381"/>
                                <a:gd name="T1" fmla="*/ T0 w 1603"/>
                                <a:gd name="T2" fmla="+- 0 12559 12559"/>
                                <a:gd name="T3" fmla="*/ 12559 h 2861"/>
                                <a:gd name="T4" fmla="+- 0 5381 5381"/>
                                <a:gd name="T5" fmla="*/ T4 w 1603"/>
                                <a:gd name="T6" fmla="+- 0 15420 12559"/>
                                <a:gd name="T7" fmla="*/ 15420 h 2861"/>
                                <a:gd name="T8" fmla="+- 0 6984 5381"/>
                                <a:gd name="T9" fmla="*/ T8 w 1603"/>
                                <a:gd name="T10" fmla="+- 0 14495 12559"/>
                                <a:gd name="T11" fmla="*/ 14495 h 2861"/>
                                <a:gd name="T12" fmla="+- 0 6984 5381"/>
                                <a:gd name="T13" fmla="*/ T12 w 1603"/>
                                <a:gd name="T14" fmla="+- 0 13485 12559"/>
                                <a:gd name="T15" fmla="*/ 13485 h 2861"/>
                                <a:gd name="T16" fmla="+- 0 5381 5381"/>
                                <a:gd name="T17" fmla="*/ T16 w 1603"/>
                                <a:gd name="T18" fmla="+- 0 12559 12559"/>
                                <a:gd name="T19" fmla="*/ 12559 h 2861"/>
                              </a:gdLst>
                              <a:ahLst/>
                              <a:cxnLst>
                                <a:cxn ang="0">
                                  <a:pos x="T1" y="T3"/>
                                </a:cxn>
                                <a:cxn ang="0">
                                  <a:pos x="T5" y="T7"/>
                                </a:cxn>
                                <a:cxn ang="0">
                                  <a:pos x="T9" y="T11"/>
                                </a:cxn>
                                <a:cxn ang="0">
                                  <a:pos x="T13" y="T15"/>
                                </a:cxn>
                                <a:cxn ang="0">
                                  <a:pos x="T17" y="T19"/>
                                </a:cxn>
                              </a:cxnLst>
                              <a:rect l="0" t="0" r="r" b="b"/>
                              <a:pathLst>
                                <a:path w="1603" h="2861">
                                  <a:moveTo>
                                    <a:pt x="0" y="0"/>
                                  </a:moveTo>
                                  <a:lnTo>
                                    <a:pt x="0" y="2861"/>
                                  </a:lnTo>
                                  <a:lnTo>
                                    <a:pt x="1603" y="1936"/>
                                  </a:lnTo>
                                  <a:lnTo>
                                    <a:pt x="1603" y="926"/>
                                  </a:lnTo>
                                  <a:lnTo>
                                    <a:pt x="0" y="0"/>
                                  </a:lnTo>
                                </a:path>
                              </a:pathLst>
                            </a:custGeom>
                            <a:solidFill>
                              <a:srgbClr val="00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1"/>
                        <wpg:cNvGrpSpPr>
                          <a:grpSpLocks/>
                        </wpg:cNvGrpSpPr>
                        <wpg:grpSpPr bwMode="auto">
                          <a:xfrm>
                            <a:off x="6984" y="13485"/>
                            <a:ext cx="875" cy="1010"/>
                            <a:chOff x="6984" y="13485"/>
                            <a:chExt cx="875" cy="1010"/>
                          </a:xfrm>
                        </wpg:grpSpPr>
                        <wps:wsp>
                          <wps:cNvPr id="29" name="Freeform 12"/>
                          <wps:cNvSpPr>
                            <a:spLocks/>
                          </wps:cNvSpPr>
                          <wps:spPr bwMode="auto">
                            <a:xfrm>
                              <a:off x="6984" y="13485"/>
                              <a:ext cx="875" cy="1010"/>
                            </a:xfrm>
                            <a:custGeom>
                              <a:avLst/>
                              <a:gdLst>
                                <a:gd name="T0" fmla="+- 0 6984 6984"/>
                                <a:gd name="T1" fmla="*/ T0 w 875"/>
                                <a:gd name="T2" fmla="+- 0 13485 13485"/>
                                <a:gd name="T3" fmla="*/ 13485 h 1010"/>
                                <a:gd name="T4" fmla="+- 0 6984 6984"/>
                                <a:gd name="T5" fmla="*/ T4 w 875"/>
                                <a:gd name="T6" fmla="+- 0 14495 13485"/>
                                <a:gd name="T7" fmla="*/ 14495 h 1010"/>
                                <a:gd name="T8" fmla="+- 0 7859 6984"/>
                                <a:gd name="T9" fmla="*/ T8 w 875"/>
                                <a:gd name="T10" fmla="+- 0 13990 13485"/>
                                <a:gd name="T11" fmla="*/ 13990 h 1010"/>
                                <a:gd name="T12" fmla="+- 0 6984 6984"/>
                                <a:gd name="T13" fmla="*/ T12 w 875"/>
                                <a:gd name="T14" fmla="+- 0 13485 13485"/>
                                <a:gd name="T15" fmla="*/ 13485 h 1010"/>
                              </a:gdLst>
                              <a:ahLst/>
                              <a:cxnLst>
                                <a:cxn ang="0">
                                  <a:pos x="T1" y="T3"/>
                                </a:cxn>
                                <a:cxn ang="0">
                                  <a:pos x="T5" y="T7"/>
                                </a:cxn>
                                <a:cxn ang="0">
                                  <a:pos x="T9" y="T11"/>
                                </a:cxn>
                                <a:cxn ang="0">
                                  <a:pos x="T13" y="T15"/>
                                </a:cxn>
                              </a:cxnLst>
                              <a:rect l="0" t="0" r="r" b="b"/>
                              <a:pathLst>
                                <a:path w="875" h="1010">
                                  <a:moveTo>
                                    <a:pt x="0" y="0"/>
                                  </a:moveTo>
                                  <a:lnTo>
                                    <a:pt x="0" y="1010"/>
                                  </a:lnTo>
                                  <a:lnTo>
                                    <a:pt x="875" y="505"/>
                                  </a:lnTo>
                                  <a:lnTo>
                                    <a:pt x="0" y="0"/>
                                  </a:lnTo>
                                </a:path>
                              </a:pathLst>
                            </a:custGeom>
                            <a:solidFill>
                              <a:srgbClr val="007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3"/>
                        <wpg:cNvGrpSpPr>
                          <a:grpSpLocks/>
                        </wpg:cNvGrpSpPr>
                        <wpg:grpSpPr bwMode="auto">
                          <a:xfrm>
                            <a:off x="5381" y="7986"/>
                            <a:ext cx="2477" cy="2861"/>
                            <a:chOff x="5381" y="7986"/>
                            <a:chExt cx="2477" cy="2861"/>
                          </a:xfrm>
                        </wpg:grpSpPr>
                        <wps:wsp>
                          <wps:cNvPr id="31" name="Freeform 14"/>
                          <wps:cNvSpPr>
                            <a:spLocks/>
                          </wps:cNvSpPr>
                          <wps:spPr bwMode="auto">
                            <a:xfrm>
                              <a:off x="5381" y="7986"/>
                              <a:ext cx="2477" cy="2861"/>
                            </a:xfrm>
                            <a:custGeom>
                              <a:avLst/>
                              <a:gdLst>
                                <a:gd name="T0" fmla="+- 0 5381 5381"/>
                                <a:gd name="T1" fmla="*/ T0 w 2477"/>
                                <a:gd name="T2" fmla="+- 0 7986 7986"/>
                                <a:gd name="T3" fmla="*/ 7986 h 2861"/>
                                <a:gd name="T4" fmla="+- 0 5381 5381"/>
                                <a:gd name="T5" fmla="*/ T4 w 2477"/>
                                <a:gd name="T6" fmla="+- 0 10846 7986"/>
                                <a:gd name="T7" fmla="*/ 10846 h 2861"/>
                                <a:gd name="T8" fmla="+- 0 6984 5381"/>
                                <a:gd name="T9" fmla="*/ T8 w 2477"/>
                                <a:gd name="T10" fmla="+- 0 9921 7986"/>
                                <a:gd name="T11" fmla="*/ 9921 h 2861"/>
                                <a:gd name="T12" fmla="+- 0 6984 5381"/>
                                <a:gd name="T13" fmla="*/ T12 w 2477"/>
                                <a:gd name="T14" fmla="+- 0 8911 7986"/>
                                <a:gd name="T15" fmla="*/ 8911 h 2861"/>
                                <a:gd name="T16" fmla="+- 0 5381 5381"/>
                                <a:gd name="T17" fmla="*/ T16 w 2477"/>
                                <a:gd name="T18" fmla="+- 0 7986 7986"/>
                                <a:gd name="T19" fmla="*/ 7986 h 2861"/>
                              </a:gdLst>
                              <a:ahLst/>
                              <a:cxnLst>
                                <a:cxn ang="0">
                                  <a:pos x="T1" y="T3"/>
                                </a:cxn>
                                <a:cxn ang="0">
                                  <a:pos x="T5" y="T7"/>
                                </a:cxn>
                                <a:cxn ang="0">
                                  <a:pos x="T9" y="T11"/>
                                </a:cxn>
                                <a:cxn ang="0">
                                  <a:pos x="T13" y="T15"/>
                                </a:cxn>
                                <a:cxn ang="0">
                                  <a:pos x="T17" y="T19"/>
                                </a:cxn>
                              </a:cxnLst>
                              <a:rect l="0" t="0" r="r" b="b"/>
                              <a:pathLst>
                                <a:path w="2477" h="2861">
                                  <a:moveTo>
                                    <a:pt x="0" y="0"/>
                                  </a:moveTo>
                                  <a:lnTo>
                                    <a:pt x="0" y="2860"/>
                                  </a:lnTo>
                                  <a:lnTo>
                                    <a:pt x="1603" y="1935"/>
                                  </a:lnTo>
                                  <a:lnTo>
                                    <a:pt x="1603" y="925"/>
                                  </a:lnTo>
                                  <a:lnTo>
                                    <a:pt x="0" y="0"/>
                                  </a:lnTo>
                                </a:path>
                              </a:pathLst>
                            </a:custGeom>
                            <a:solidFill>
                              <a:srgbClr val="00BD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5"/>
                          <wps:cNvSpPr>
                            <a:spLocks/>
                          </wps:cNvSpPr>
                          <wps:spPr bwMode="auto">
                            <a:xfrm>
                              <a:off x="5381" y="7986"/>
                              <a:ext cx="2477" cy="2861"/>
                            </a:xfrm>
                            <a:custGeom>
                              <a:avLst/>
                              <a:gdLst>
                                <a:gd name="T0" fmla="+- 0 6984 5381"/>
                                <a:gd name="T1" fmla="*/ T0 w 2477"/>
                                <a:gd name="T2" fmla="+- 0 8911 7986"/>
                                <a:gd name="T3" fmla="*/ 8911 h 2861"/>
                                <a:gd name="T4" fmla="+- 0 7859 5381"/>
                                <a:gd name="T5" fmla="*/ T4 w 2477"/>
                                <a:gd name="T6" fmla="+- 0 9416 7986"/>
                                <a:gd name="T7" fmla="*/ 9416 h 2861"/>
                                <a:gd name="T8" fmla="+- 0 6984 5381"/>
                                <a:gd name="T9" fmla="*/ T8 w 2477"/>
                                <a:gd name="T10" fmla="+- 0 8911 7986"/>
                                <a:gd name="T11" fmla="*/ 8911 h 2861"/>
                              </a:gdLst>
                              <a:ahLst/>
                              <a:cxnLst>
                                <a:cxn ang="0">
                                  <a:pos x="T1" y="T3"/>
                                </a:cxn>
                                <a:cxn ang="0">
                                  <a:pos x="T5" y="T7"/>
                                </a:cxn>
                                <a:cxn ang="0">
                                  <a:pos x="T9" y="T11"/>
                                </a:cxn>
                              </a:cxnLst>
                              <a:rect l="0" t="0" r="r" b="b"/>
                              <a:pathLst>
                                <a:path w="2477" h="2861">
                                  <a:moveTo>
                                    <a:pt x="1603" y="925"/>
                                  </a:moveTo>
                                  <a:lnTo>
                                    <a:pt x="2478" y="1430"/>
                                  </a:lnTo>
                                  <a:lnTo>
                                    <a:pt x="1603" y="925"/>
                                  </a:lnTo>
                                </a:path>
                              </a:pathLst>
                            </a:custGeom>
                            <a:solidFill>
                              <a:srgbClr val="00BD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6"/>
                        <wpg:cNvGrpSpPr>
                          <a:grpSpLocks/>
                        </wpg:cNvGrpSpPr>
                        <wpg:grpSpPr bwMode="auto">
                          <a:xfrm>
                            <a:off x="6984" y="8911"/>
                            <a:ext cx="875" cy="1010"/>
                            <a:chOff x="6984" y="8911"/>
                            <a:chExt cx="875" cy="1010"/>
                          </a:xfrm>
                        </wpg:grpSpPr>
                        <wps:wsp>
                          <wps:cNvPr id="290" name="Freeform 17"/>
                          <wps:cNvSpPr>
                            <a:spLocks/>
                          </wps:cNvSpPr>
                          <wps:spPr bwMode="auto">
                            <a:xfrm>
                              <a:off x="6984" y="8911"/>
                              <a:ext cx="875" cy="1010"/>
                            </a:xfrm>
                            <a:custGeom>
                              <a:avLst/>
                              <a:gdLst>
                                <a:gd name="T0" fmla="+- 0 6984 6984"/>
                                <a:gd name="T1" fmla="*/ T0 w 875"/>
                                <a:gd name="T2" fmla="+- 0 8911 8911"/>
                                <a:gd name="T3" fmla="*/ 8911 h 1010"/>
                                <a:gd name="T4" fmla="+- 0 6984 6984"/>
                                <a:gd name="T5" fmla="*/ T4 w 875"/>
                                <a:gd name="T6" fmla="+- 0 9921 8911"/>
                                <a:gd name="T7" fmla="*/ 9921 h 1010"/>
                                <a:gd name="T8" fmla="+- 0 7858 6984"/>
                                <a:gd name="T9" fmla="*/ T8 w 875"/>
                                <a:gd name="T10" fmla="+- 0 9416 8911"/>
                                <a:gd name="T11" fmla="*/ 9416 h 1010"/>
                                <a:gd name="T12" fmla="+- 0 6984 6984"/>
                                <a:gd name="T13" fmla="*/ T12 w 875"/>
                                <a:gd name="T14" fmla="+- 0 8911 8911"/>
                                <a:gd name="T15" fmla="*/ 8911 h 1010"/>
                              </a:gdLst>
                              <a:ahLst/>
                              <a:cxnLst>
                                <a:cxn ang="0">
                                  <a:pos x="T1" y="T3"/>
                                </a:cxn>
                                <a:cxn ang="0">
                                  <a:pos x="T5" y="T7"/>
                                </a:cxn>
                                <a:cxn ang="0">
                                  <a:pos x="T9" y="T11"/>
                                </a:cxn>
                                <a:cxn ang="0">
                                  <a:pos x="T13" y="T15"/>
                                </a:cxn>
                              </a:cxnLst>
                              <a:rect l="0" t="0" r="r" b="b"/>
                              <a:pathLst>
                                <a:path w="875" h="1010">
                                  <a:moveTo>
                                    <a:pt x="0" y="0"/>
                                  </a:moveTo>
                                  <a:lnTo>
                                    <a:pt x="0" y="1010"/>
                                  </a:lnTo>
                                  <a:lnTo>
                                    <a:pt x="874" y="505"/>
                                  </a:lnTo>
                                  <a:lnTo>
                                    <a:pt x="0" y="0"/>
                                  </a:lnTo>
                                </a:path>
                              </a:pathLst>
                            </a:custGeom>
                            <a:solidFill>
                              <a:srgbClr val="00AF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34A257" id="Group 4" o:spid="_x0000_s1026" style="position:absolute;margin-left:26.65pt;margin-top:398.9pt;width:564.5pt;height:372.95pt;z-index:-251655168;mso-position-horizontal-relative:page;mso-position-vertical-relative:page" coordorigin="535,7976" coordsize="11290,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">
                <v:group id="Group 3" o:spid="_x0000_s1027" style="position:absolute;left:545;top:9768;width:4836;height:5583" coordorigin="545,9768" coordsize="4836,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545;top:9768;width:4836;height:5583;visibility:visible;mso-wrap-style:square;v-text-anchor:top" coordsize="4836,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" path="m,l,5583,4836,2791,,e" fillcolor="#ed1c24" stroked="f">
                    <v:path arrowok="t" o:connecttype="custom" o:connectlocs="0,9768;0,15351;4836,12559;0,9768" o:connectangles="0,0,0,0"/>
                  </v:shape>
                </v:group>
                <v:group id="Group 5" o:spid="_x0000_s1029" style="position:absolute;left:5381;top:15420;width:4;height:2" coordorigin="5381,15420"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0" style="position:absolute;left:5381;top:15420;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" path="m,l,2r4,l,e" fillcolor="#00bdf2" stroked="f">
                    <v:path arrowok="t" o:connecttype="custom" o:connectlocs="0,15420;0,15422;4,15422;0,15420" o:connectangles="0,0,0,0"/>
                  </v:shape>
                </v:group>
                <v:group id="Group 7" o:spid="_x0000_s1031" style="position:absolute;left:6984;top:9416;width:4831;height:4574" coordorigin="6984,9416" coordsize="4831,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o:spid="_x0000_s1032" style="position:absolute;left:6984;top:9416;width:4831;height:4574;visibility:visible;mso-wrap-style:square;v-text-anchor:top" coordsize="4831,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" path="m875,l,505,,4069r875,505l4831,2289r,-5l875,e" fillcolor="#b3d334" stroked="f">
                    <v:path arrowok="t" o:connecttype="custom" o:connectlocs="875,9416;0,9921;0,13485;875,13990;4831,11705;4831,11700;875,9416" o:connectangles="0,0,0,0,0,0,0"/>
                  </v:shape>
                </v:group>
                <v:group id="Group 9" o:spid="_x0000_s1033" style="position:absolute;left:5381;top:12559;width:1603;height:2861" coordorigin="5381,12559" coordsize="1603,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34" style="position:absolute;left:5381;top:12559;width:1603;height:2861;visibility:visible;mso-wrap-style:square;v-text-anchor:top" coordsize="1603,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" path="m,l,2861,1603,1936r,-1010l,e" fillcolor="#007dba" stroked="f">
                    <v:path arrowok="t" o:connecttype="custom" o:connectlocs="0,12559;0,15420;1603,14495;1603,13485;0,12559" o:connectangles="0,0,0,0,0"/>
                  </v:shape>
                </v:group>
                <v:group id="Group 11" o:spid="_x0000_s1035" style="position:absolute;left:6984;top:13485;width:875;height:1010" coordorigin="6984,13485" coordsize="875,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36" style="position:absolute;left:6984;top:13485;width:875;height:1010;visibility:visible;mso-wrap-style:square;v-text-anchor:top" coordsize="875,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" path="m,l,1010,875,505,,e" fillcolor="#007941" stroked="f">
                    <v:path arrowok="t" o:connecttype="custom" o:connectlocs="0,13485;0,14495;875,13990;0,13485" o:connectangles="0,0,0,0"/>
                  </v:shape>
                </v:group>
                <v:group id="Group 13" o:spid="_x0000_s1037" style="position:absolute;left:5381;top:7986;width:2477;height:2861" coordorigin="5381,7986" coordsize="2477,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4" o:spid="_x0000_s1038" style="position:absolute;left:5381;top:7986;width:2477;height:2861;visibility:visible;mso-wrap-style:square;v-text-anchor:top" coordsize="2477,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" path="m,l,2860,1603,1935r,-1010l,e" fillcolor="#00bdf2" stroked="f">
                    <v:path arrowok="t" o:connecttype="custom" o:connectlocs="0,7986;0,10846;1603,9921;1603,8911;0,7986" o:connectangles="0,0,0,0,0"/>
                  </v:shape>
                  <v:shape id="Freeform 15" o:spid="_x0000_s1039" style="position:absolute;left:5381;top:7986;width:2477;height:2861;visibility:visible;mso-wrap-style:square;v-text-anchor:top" coordsize="2477,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" path="m1603,925r875,505l1603,925e" fillcolor="#00bdf2" stroked="f">
                    <v:path arrowok="t" o:connecttype="custom" o:connectlocs="1603,8911;2478,9416;1603,8911" o:connectangles="0,0,0"/>
                  </v:shape>
                </v:group>
                <v:group id="Group 16" o:spid="_x0000_s1040" style="position:absolute;left:6984;top:8911;width:875;height:1010" coordorigin="6984,8911" coordsize="875,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7" o:spid="_x0000_s1041" style="position:absolute;left:6984;top:8911;width:875;height:1010;visibility:visible;mso-wrap-style:square;v-text-anchor:top" coordsize="875,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" path="m,l,1010,874,505,,e" fillcolor="#00af4c" stroked="f">
                    <v:path arrowok="t" o:connecttype="custom" o:connectlocs="0,8911;0,9921;874,9416;0,8911" o:connectangles="0,0,0,0"/>
                  </v:shape>
                </v:group>
                <w10:wrap anchorx="page" anchory="page"/>
              </v:group>
            </w:pict>
          </mc:Fallback>
        </mc:AlternateContent>
      </w:r>
      <w:r w:rsidR="009765E7">
        <w:rPr>
          <w:noProof/>
        </w:rPr>
        <mc:AlternateContent>
          <mc:Choice Requires="wpg">
            <w:drawing>
              <wp:anchor distT="0" distB="0" distL="457200" distR="457200" simplePos="0" relativeHeight="251659264" behindDoc="0" locked="0" layoutInCell="1" allowOverlap="1" wp14:anchorId="68FDADDD" wp14:editId="45E0F6B6">
                <wp:simplePos x="0" y="0"/>
                <wp:positionH relativeFrom="page">
                  <wp:posOffset>371475</wp:posOffset>
                </wp:positionH>
                <wp:positionV relativeFrom="page">
                  <wp:posOffset>-714375</wp:posOffset>
                </wp:positionV>
                <wp:extent cx="7086599" cy="9372600"/>
                <wp:effectExtent l="0" t="0" r="0" b="0"/>
                <wp:wrapThrough wrapText="bothSides">
                  <wp:wrapPolygon edited="0">
                    <wp:start x="0" y="5312"/>
                    <wp:lineTo x="0" y="21380"/>
                    <wp:lineTo x="18234" y="21380"/>
                    <wp:lineTo x="18234" y="5312"/>
                    <wp:lineTo x="0" y="5312"/>
                  </wp:wrapPolygon>
                </wp:wrapThrough>
                <wp:docPr id="186" name="Group 186"/>
                <wp:cNvGraphicFramePr/>
                <a:graphic xmlns:a="http://schemas.openxmlformats.org/drawingml/2006/main">
                  <a:graphicData uri="http://schemas.microsoft.com/office/word/2010/wordprocessingGroup">
                    <wpg:wgp>
                      <wpg:cNvGrpSpPr/>
                      <wpg:grpSpPr>
                        <a:xfrm>
                          <a:off x="0" y="0"/>
                          <a:ext cx="7086599" cy="9372600"/>
                          <a:chOff x="-2693435" y="0"/>
                          <a:chExt cx="5627402" cy="9372600"/>
                        </a:xfrm>
                      </wpg:grpSpPr>
                      <wps:wsp>
                        <wps:cNvPr id="187" name="Text Box 187"/>
                        <wps:cNvSpPr txBox="1"/>
                        <wps:spPr>
                          <a:xfrm>
                            <a:off x="-2693435" y="2352675"/>
                            <a:ext cx="4727321" cy="68973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59F26D" w14:textId="3734C022" w:rsidR="00D87985" w:rsidRPr="0058673F" w:rsidRDefault="00D87985" w:rsidP="0058673F">
                              <w:pPr>
                                <w:pStyle w:val="MainTitle"/>
                              </w:pPr>
                              <w:r w:rsidRPr="0058673F">
                                <w:rPr>
                                  <w:rStyle w:val="Style1Char"/>
                                  <w:b w:val="0"/>
                                  <w:caps/>
                                </w:rPr>
                                <w:t>2019 Integrated Resource Plan</w:t>
                              </w:r>
                            </w:p>
                            <w:p w14:paraId="15B5F2ED" w14:textId="487F005F" w:rsidR="00D87985" w:rsidRPr="007F6146" w:rsidRDefault="00D87985" w:rsidP="0058673F">
                              <w:pPr>
                                <w:pStyle w:val="Subtitle"/>
                                <w:rPr>
                                  <w:color w:val="4D4D4D" w:themeColor="text2"/>
                                </w:rPr>
                              </w:pPr>
                              <w:r w:rsidRPr="007F6146">
                                <w:rPr>
                                  <w:color w:val="4D4D4D" w:themeColor="text2"/>
                                </w:rPr>
                                <w:t xml:space="preserve">And Application for Certification of Capacity from Plant Scherer Unit 3 and Plant Goat Rock Units 9-12 and Application for Decertification of Plant Hammond Units 1-4, Plant McIntosh Unit 1, Plant </w:t>
                              </w:r>
                              <w:r>
                                <w:rPr>
                                  <w:color w:val="4D4D4D" w:themeColor="text2"/>
                                </w:rPr>
                                <w:t xml:space="preserve">Estatoah Unit 1, Plant </w:t>
                              </w:r>
                              <w:r w:rsidRPr="007F6146">
                                <w:rPr>
                                  <w:color w:val="4D4D4D" w:themeColor="text2"/>
                                </w:rPr>
                                <w:t xml:space="preserve">Langdale Units 5-6, </w:t>
                              </w:r>
                              <w:r>
                                <w:rPr>
                                  <w:color w:val="4D4D4D" w:themeColor="text2"/>
                                </w:rPr>
                                <w:t xml:space="preserve">and </w:t>
                              </w:r>
                              <w:r w:rsidRPr="007F6146">
                                <w:rPr>
                                  <w:color w:val="4D4D4D" w:themeColor="text2"/>
                                </w:rPr>
                                <w:t>Plant Riverview Unit</w:t>
                              </w:r>
                              <w:r>
                                <w:rPr>
                                  <w:color w:val="4D4D4D" w:themeColor="text2"/>
                                </w:rPr>
                                <w:t>s 1-2</w:t>
                              </w:r>
                            </w:p>
                            <w:p w14:paraId="003531D7" w14:textId="159AC384" w:rsidR="00D87985" w:rsidRPr="0058673F" w:rsidRDefault="00D87985" w:rsidP="0058673F">
                              <w:pPr>
                                <w:pStyle w:val="Subtitle"/>
                              </w:pPr>
                              <w:r w:rsidRPr="007F6146">
                                <w:rPr>
                                  <w:color w:val="4D4D4D" w:themeColor="text2"/>
                                </w:rPr>
                                <w:t xml:space="preserve">Docket No. </w:t>
                              </w:r>
                              <w:r w:rsidRPr="004506C3">
                                <w:rPr>
                                  <w:color w:val="4D4D4D" w:themeColor="text2"/>
                                </w:rPr>
                                <w:t>42310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9" name="Rectangle 189"/>
                        <wps:cNvSpPr/>
                        <wps:spPr>
                          <a:xfrm>
                            <a:off x="2019300" y="0"/>
                            <a:ext cx="914667"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68FDADDD" id="Group 186" o:spid="_x0000_s1026" style="position:absolute;left:0;text-align:left;margin-left:29.25pt;margin-top:-56.25pt;width:558pt;height:738pt;z-index:251659264;mso-wrap-distance-left:36pt;mso-wrap-distance-right:36pt;mso-position-horizontal-relative:page;mso-position-vertical-relative:page;mso-width-relative:margin" coordorigin="-26934" coordsize="56274,9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">
                <v:shapetype id="_x0000_t202" coordsize="21600,21600" o:spt="202" path="m,l,21600r21600,l21600,xe">
                  <v:stroke joinstyle="miter"/>
                  <v:path gradientshapeok="t" o:connecttype="rect"/>
                </v:shapetype>
                <v:shape id="Text Box 187" o:spid="_x0000_s1027" type="#_x0000_t202" style="position:absolute;left:-26934;top:23526;width:47272;height:68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" filled="f" stroked="f" strokeweight=".5pt">
                  <v:textbox inset="0,0,0,0">
                    <w:txbxContent>
                      <w:p w14:paraId="0059F26D" w14:textId="3734C022" w:rsidR="00D87985" w:rsidRPr="0058673F" w:rsidRDefault="00D87985" w:rsidP="0058673F">
                        <w:pPr>
                          <w:pStyle w:val="MainTitle"/>
                        </w:pPr>
                        <w:r w:rsidRPr="0058673F">
                          <w:rPr>
                            <w:rStyle w:val="Style1Char"/>
                            <w:b w:val="0"/>
                            <w:caps/>
                          </w:rPr>
                          <w:t>2019 Integrated Resource Plan</w:t>
                        </w:r>
                      </w:p>
                      <w:p w14:paraId="15B5F2ED" w14:textId="487F005F" w:rsidR="00D87985" w:rsidRPr="007F6146" w:rsidRDefault="00D87985" w:rsidP="0058673F">
                        <w:pPr>
                          <w:pStyle w:val="Subtitle"/>
                          <w:rPr>
                            <w:color w:val="4D4D4D" w:themeColor="text2"/>
                          </w:rPr>
                        </w:pPr>
                        <w:r w:rsidRPr="007F6146">
                          <w:rPr>
                            <w:color w:val="4D4D4D" w:themeColor="text2"/>
                          </w:rPr>
                          <w:t xml:space="preserve">And Application for Certification of Capacity from Plant Scherer Unit 3 and Plant Goat Rock Units 9-12 and Application for Decertification of Plant Hammond Units 1-4, Plant McIntosh Unit 1, Plant </w:t>
                        </w:r>
                        <w:r>
                          <w:rPr>
                            <w:color w:val="4D4D4D" w:themeColor="text2"/>
                          </w:rPr>
                          <w:t xml:space="preserve">Estatoah Unit 1, Plant </w:t>
                        </w:r>
                        <w:r w:rsidRPr="007F6146">
                          <w:rPr>
                            <w:color w:val="4D4D4D" w:themeColor="text2"/>
                          </w:rPr>
                          <w:t xml:space="preserve">Langdale Units 5-6, </w:t>
                        </w:r>
                        <w:r>
                          <w:rPr>
                            <w:color w:val="4D4D4D" w:themeColor="text2"/>
                          </w:rPr>
                          <w:t xml:space="preserve">and </w:t>
                        </w:r>
                        <w:r w:rsidRPr="007F6146">
                          <w:rPr>
                            <w:color w:val="4D4D4D" w:themeColor="text2"/>
                          </w:rPr>
                          <w:t>Plant Riverview Unit</w:t>
                        </w:r>
                        <w:r>
                          <w:rPr>
                            <w:color w:val="4D4D4D" w:themeColor="text2"/>
                          </w:rPr>
                          <w:t>s 1-2</w:t>
                        </w:r>
                      </w:p>
                      <w:p w14:paraId="003531D7" w14:textId="159AC384" w:rsidR="00D87985" w:rsidRPr="0058673F" w:rsidRDefault="00D87985" w:rsidP="0058673F">
                        <w:pPr>
                          <w:pStyle w:val="Subtitle"/>
                        </w:pPr>
                        <w:r w:rsidRPr="007F6146">
                          <w:rPr>
                            <w:color w:val="4D4D4D" w:themeColor="text2"/>
                          </w:rPr>
                          <w:t xml:space="preserve">Docket No. </w:t>
                        </w:r>
                        <w:r w:rsidRPr="004506C3">
                          <w:rPr>
                            <w:color w:val="4D4D4D" w:themeColor="text2"/>
                          </w:rPr>
                          <w:t>42310</w:t>
                        </w:r>
                      </w:p>
                    </w:txbxContent>
                  </v:textbox>
                </v:shape>
                <v:rect id="Rectangle 189" o:spid="_x0000_s1028" style="position:absolute;left:20193;width:9146;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" fillcolor="white [3212]" stroked="f" strokeweight="1pt">
                  <v:fill opacity="0"/>
                </v:rect>
                <w10:wrap type="through" anchorx="page" anchory="page"/>
              </v:group>
            </w:pict>
          </mc:Fallback>
        </mc:AlternateContent>
      </w:r>
      <w:r w:rsidR="002F2FD1">
        <w:rPr>
          <w:noProof/>
        </w:rPr>
        <w:drawing>
          <wp:anchor distT="0" distB="0" distL="114300" distR="114300" simplePos="0" relativeHeight="251658240" behindDoc="1" locked="0" layoutInCell="1" allowOverlap="1" wp14:anchorId="20D961C5" wp14:editId="66262A6D">
            <wp:simplePos x="0" y="0"/>
            <wp:positionH relativeFrom="column">
              <wp:posOffset>-462445</wp:posOffset>
            </wp:positionH>
            <wp:positionV relativeFrom="paragraph">
              <wp:posOffset>-106466</wp:posOffset>
            </wp:positionV>
            <wp:extent cx="3714750" cy="654685"/>
            <wp:effectExtent l="0" t="0" r="0" b="0"/>
            <wp:wrapNone/>
            <wp:docPr id="12" name="Picture 12"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A_power_h_rgb.jpg"/>
                    <pic:cNvPicPr/>
                  </pic:nvPicPr>
                  <pic:blipFill>
                    <a:blip r:embed="rId8">
                      <a:extLst>
                        <a:ext uri="{28A0092B-C50C-407E-A947-70E740481C1C}">
                          <a14:useLocalDpi xmlns:a14="http://schemas.microsoft.com/office/drawing/2010/main" val="0"/>
                        </a:ext>
                      </a:extLst>
                    </a:blip>
                    <a:stretch>
                      <a:fillRect/>
                    </a:stretch>
                  </pic:blipFill>
                  <pic:spPr>
                    <a:xfrm>
                      <a:off x="0" y="0"/>
                      <a:ext cx="3714750" cy="654685"/>
                    </a:xfrm>
                    <a:prstGeom prst="rect">
                      <a:avLst/>
                    </a:prstGeom>
                  </pic:spPr>
                </pic:pic>
              </a:graphicData>
            </a:graphic>
            <wp14:sizeRelH relativeFrom="margin">
              <wp14:pctWidth>0</wp14:pctWidth>
            </wp14:sizeRelH>
            <wp14:sizeRelV relativeFrom="margin">
              <wp14:pctHeight>0</wp14:pctHeight>
            </wp14:sizeRelV>
          </wp:anchor>
        </w:drawing>
      </w:r>
    </w:p>
    <w:p w14:paraId="2675B648" w14:textId="77777777" w:rsidR="00E82DC7" w:rsidRDefault="00E82DC7" w:rsidP="00304629">
      <w:pPr>
        <w:pStyle w:val="Title"/>
        <w:rPr>
          <w:rStyle w:val="BookTitle"/>
          <w:rFonts w:asciiTheme="majorHAnsi" w:hAnsiTheme="majorHAnsi"/>
          <w:b w:val="0"/>
          <w:bCs w:val="0"/>
          <w:i w:val="0"/>
          <w:iCs w:val="0"/>
          <w:spacing w:val="10"/>
        </w:rPr>
        <w:sectPr w:rsidR="00E82DC7" w:rsidSect="00D87985">
          <w:footerReference w:type="default" r:id="rId9"/>
          <w:type w:val="continuous"/>
          <w:pgSz w:w="12240" w:h="15840"/>
          <w:pgMar w:top="1440" w:right="1440" w:bottom="1440" w:left="1440" w:header="720" w:footer="432" w:gutter="0"/>
          <w:pgNumType w:fmt="lowerRoman" w:start="1"/>
          <w:cols w:space="720"/>
          <w:titlePg/>
          <w:docGrid w:linePitch="360"/>
        </w:sectPr>
      </w:pPr>
    </w:p>
    <w:p w14:paraId="5C3DD74B" w14:textId="53E22A18" w:rsidR="00172F11" w:rsidRPr="00304629" w:rsidRDefault="00172F11" w:rsidP="00304629">
      <w:pPr>
        <w:pStyle w:val="Title"/>
        <w:rPr>
          <w:rStyle w:val="BookTitle"/>
          <w:rFonts w:asciiTheme="majorHAnsi" w:hAnsiTheme="majorHAnsi"/>
          <w:b w:val="0"/>
          <w:bCs w:val="0"/>
          <w:i w:val="0"/>
          <w:iCs w:val="0"/>
          <w:spacing w:val="10"/>
        </w:rPr>
      </w:pPr>
      <w:r w:rsidRPr="00304629">
        <w:rPr>
          <w:rStyle w:val="BookTitle"/>
          <w:rFonts w:asciiTheme="majorHAnsi" w:hAnsiTheme="majorHAnsi"/>
          <w:b w:val="0"/>
          <w:bCs w:val="0"/>
          <w:i w:val="0"/>
          <w:iCs w:val="0"/>
          <w:spacing w:val="10"/>
        </w:rPr>
        <w:lastRenderedPageBreak/>
        <w:t>Georgia Power Company’S</w:t>
      </w:r>
    </w:p>
    <w:p w14:paraId="4B793A2D" w14:textId="77777777" w:rsidR="00172F11" w:rsidRPr="00304629" w:rsidRDefault="00172F11" w:rsidP="00304629">
      <w:pPr>
        <w:pStyle w:val="Title"/>
        <w:rPr>
          <w:rStyle w:val="BookTitle"/>
          <w:rFonts w:asciiTheme="majorHAnsi" w:hAnsiTheme="majorHAnsi"/>
          <w:b w:val="0"/>
          <w:bCs w:val="0"/>
          <w:i w:val="0"/>
          <w:iCs w:val="0"/>
          <w:spacing w:val="10"/>
        </w:rPr>
      </w:pPr>
      <w:r w:rsidRPr="00304629">
        <w:rPr>
          <w:rStyle w:val="BookTitle"/>
          <w:rFonts w:asciiTheme="majorHAnsi" w:hAnsiTheme="majorHAnsi"/>
          <w:b w:val="0"/>
          <w:bCs w:val="0"/>
          <w:i w:val="0"/>
          <w:iCs w:val="0"/>
          <w:spacing w:val="10"/>
        </w:rPr>
        <w:t>2019 Integrated Resource Plan</w:t>
      </w:r>
    </w:p>
    <w:p w14:paraId="04B9B9B3" w14:textId="77777777" w:rsidR="00172F11" w:rsidRPr="00304629" w:rsidRDefault="00172F11" w:rsidP="00304629">
      <w:pPr>
        <w:pStyle w:val="Title"/>
        <w:rPr>
          <w:rStyle w:val="BookTitle"/>
          <w:rFonts w:asciiTheme="majorHAnsi" w:hAnsiTheme="majorHAnsi"/>
          <w:b w:val="0"/>
          <w:bCs w:val="0"/>
          <w:i w:val="0"/>
          <w:iCs w:val="0"/>
          <w:spacing w:val="10"/>
        </w:rPr>
      </w:pPr>
      <w:r w:rsidRPr="00304629">
        <w:rPr>
          <w:rStyle w:val="BookTitle"/>
          <w:rFonts w:asciiTheme="majorHAnsi" w:hAnsiTheme="majorHAnsi"/>
          <w:b w:val="0"/>
          <w:bCs w:val="0"/>
          <w:i w:val="0"/>
          <w:iCs w:val="0"/>
          <w:spacing w:val="10"/>
        </w:rPr>
        <w:t>Docket No. 42310</w:t>
      </w:r>
    </w:p>
    <w:p w14:paraId="6415CA56" w14:textId="77777777" w:rsidR="00172F11" w:rsidRDefault="00172F11" w:rsidP="00172F11"/>
    <w:p w14:paraId="33003BEE" w14:textId="690D5C10" w:rsidR="00172F11" w:rsidRPr="003D6733" w:rsidRDefault="00172F11" w:rsidP="00172F11">
      <w:pPr>
        <w:rPr>
          <w:rFonts w:asciiTheme="minorHAnsi" w:hAnsiTheme="minorHAnsi"/>
          <w:b/>
          <w:sz w:val="24"/>
          <w:szCs w:val="24"/>
        </w:rPr>
      </w:pPr>
      <w:r w:rsidRPr="008835B4">
        <w:rPr>
          <w:rFonts w:asciiTheme="majorHAnsi" w:hAnsiTheme="majorHAnsi" w:cstheme="majorHAnsi"/>
          <w:b/>
        </w:rPr>
        <w:t>Applicant name, address</w:t>
      </w:r>
      <w:r w:rsidR="00B85FDA">
        <w:rPr>
          <w:rFonts w:asciiTheme="majorHAnsi" w:hAnsiTheme="majorHAnsi" w:cstheme="majorHAnsi"/>
          <w:b/>
        </w:rPr>
        <w:t>,</w:t>
      </w:r>
      <w:r w:rsidRPr="008835B4">
        <w:rPr>
          <w:rFonts w:asciiTheme="majorHAnsi" w:hAnsiTheme="majorHAnsi" w:cstheme="majorHAnsi"/>
          <w:b/>
        </w:rPr>
        <w:t xml:space="preserve"> and principal place of business:</w:t>
      </w:r>
    </w:p>
    <w:p w14:paraId="2B07E883"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Georgia Power Company</w:t>
      </w:r>
    </w:p>
    <w:p w14:paraId="696FB544"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241 Ralph McGill Blvd NE</w:t>
      </w:r>
    </w:p>
    <w:p w14:paraId="7D89DD12"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Atlanta, Georgia 30308</w:t>
      </w:r>
    </w:p>
    <w:p w14:paraId="2CF306E8" w14:textId="77777777" w:rsidR="00172F11" w:rsidRPr="003D6733" w:rsidRDefault="00172F11" w:rsidP="00172F11">
      <w:pPr>
        <w:spacing w:after="0" w:line="240" w:lineRule="auto"/>
        <w:ind w:left="1080"/>
        <w:rPr>
          <w:rFonts w:asciiTheme="minorHAnsi" w:hAnsiTheme="minorHAnsi"/>
          <w:sz w:val="24"/>
          <w:szCs w:val="24"/>
        </w:rPr>
      </w:pPr>
    </w:p>
    <w:p w14:paraId="025CC66E" w14:textId="77777777" w:rsidR="00172F11" w:rsidRPr="008835B4" w:rsidRDefault="00172F11" w:rsidP="00172F11">
      <w:pPr>
        <w:rPr>
          <w:rFonts w:asciiTheme="majorHAnsi" w:hAnsiTheme="majorHAnsi" w:cstheme="majorHAnsi"/>
          <w:b/>
        </w:rPr>
      </w:pPr>
      <w:r w:rsidRPr="008835B4">
        <w:rPr>
          <w:rFonts w:asciiTheme="majorHAnsi" w:hAnsiTheme="majorHAnsi" w:cstheme="majorHAnsi"/>
          <w:b/>
        </w:rPr>
        <w:t>Authorized person to receive notices or communications with respect to application:</w:t>
      </w:r>
    </w:p>
    <w:p w14:paraId="3C351CC3" w14:textId="77777777" w:rsidR="00172F11" w:rsidRPr="008835B4" w:rsidRDefault="00172F11" w:rsidP="00172F11">
      <w:pPr>
        <w:spacing w:after="0" w:line="240" w:lineRule="auto"/>
        <w:ind w:left="720"/>
        <w:rPr>
          <w:rFonts w:asciiTheme="minorHAnsi" w:hAnsiTheme="minorHAnsi"/>
          <w:szCs w:val="24"/>
        </w:rPr>
      </w:pPr>
      <w:r>
        <w:rPr>
          <w:rFonts w:asciiTheme="minorHAnsi" w:hAnsiTheme="minorHAnsi"/>
          <w:szCs w:val="24"/>
        </w:rPr>
        <w:t>Marc Vinson</w:t>
      </w:r>
    </w:p>
    <w:p w14:paraId="5C9D4486"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Regulatory Affairs, BIN 10230</w:t>
      </w:r>
    </w:p>
    <w:p w14:paraId="185AB7CD"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Georgia Power Company</w:t>
      </w:r>
    </w:p>
    <w:p w14:paraId="6B49F542"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241 Ralph McGill Blvd NE</w:t>
      </w:r>
    </w:p>
    <w:p w14:paraId="0F52D140" w14:textId="77777777" w:rsidR="00172F11" w:rsidRPr="008835B4" w:rsidRDefault="00172F11" w:rsidP="00172F11">
      <w:pPr>
        <w:spacing w:after="0" w:line="240" w:lineRule="auto"/>
        <w:ind w:left="720"/>
        <w:rPr>
          <w:rFonts w:asciiTheme="minorHAnsi" w:hAnsiTheme="minorHAnsi"/>
          <w:szCs w:val="24"/>
        </w:rPr>
      </w:pPr>
      <w:r>
        <w:rPr>
          <w:rFonts w:asciiTheme="minorHAnsi" w:hAnsiTheme="minorHAnsi"/>
          <w:szCs w:val="24"/>
        </w:rPr>
        <w:t xml:space="preserve">Atlanta, Georgia </w:t>
      </w:r>
      <w:r w:rsidRPr="008835B4">
        <w:rPr>
          <w:rFonts w:asciiTheme="minorHAnsi" w:hAnsiTheme="minorHAnsi"/>
          <w:szCs w:val="24"/>
        </w:rPr>
        <w:t>30308</w:t>
      </w:r>
    </w:p>
    <w:p w14:paraId="773249DB"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Voice:  404-506-</w:t>
      </w:r>
      <w:r>
        <w:rPr>
          <w:rFonts w:asciiTheme="minorHAnsi" w:hAnsiTheme="minorHAnsi"/>
          <w:szCs w:val="24"/>
        </w:rPr>
        <w:t>2687</w:t>
      </w:r>
    </w:p>
    <w:p w14:paraId="5F484CF2"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Fax:     404-506-7253</w:t>
      </w:r>
    </w:p>
    <w:p w14:paraId="73BCB973" w14:textId="77777777" w:rsidR="00172F11" w:rsidRPr="003D6733" w:rsidRDefault="00172F11" w:rsidP="00172F11">
      <w:pPr>
        <w:spacing w:after="0" w:line="240" w:lineRule="auto"/>
        <w:ind w:left="1080"/>
        <w:rPr>
          <w:rFonts w:asciiTheme="minorHAnsi" w:hAnsiTheme="minorHAnsi"/>
          <w:sz w:val="24"/>
          <w:szCs w:val="24"/>
        </w:rPr>
      </w:pPr>
    </w:p>
    <w:p w14:paraId="2A23734E" w14:textId="77777777" w:rsidR="00172F11" w:rsidRPr="003D6733" w:rsidRDefault="00172F11" w:rsidP="00172F11">
      <w:pPr>
        <w:rPr>
          <w:rFonts w:asciiTheme="minorHAnsi" w:hAnsiTheme="minorHAnsi"/>
          <w:b/>
          <w:sz w:val="24"/>
          <w:szCs w:val="24"/>
        </w:rPr>
      </w:pPr>
      <w:r w:rsidRPr="008835B4">
        <w:rPr>
          <w:rFonts w:asciiTheme="majorHAnsi" w:hAnsiTheme="majorHAnsi" w:cstheme="majorHAnsi"/>
          <w:b/>
        </w:rPr>
        <w:t>Location for public inspection:</w:t>
      </w:r>
    </w:p>
    <w:p w14:paraId="2D0B3AFF"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Georgia Power Company</w:t>
      </w:r>
    </w:p>
    <w:p w14:paraId="22E3234D" w14:textId="77777777" w:rsidR="00172F11" w:rsidRPr="008835B4" w:rsidRDefault="00172F11" w:rsidP="00172F11">
      <w:pPr>
        <w:spacing w:after="0" w:line="240" w:lineRule="auto"/>
        <w:ind w:left="720"/>
        <w:rPr>
          <w:rFonts w:asciiTheme="minorHAnsi" w:hAnsiTheme="minorHAnsi"/>
          <w:szCs w:val="24"/>
        </w:rPr>
      </w:pPr>
      <w:r w:rsidRPr="008835B4">
        <w:rPr>
          <w:rFonts w:asciiTheme="minorHAnsi" w:hAnsiTheme="minorHAnsi"/>
          <w:szCs w:val="24"/>
        </w:rPr>
        <w:t>241 Ralph McGill Blvd NE</w:t>
      </w:r>
    </w:p>
    <w:p w14:paraId="26097352" w14:textId="51563D98" w:rsidR="00172F11" w:rsidRDefault="00172F11" w:rsidP="001E119E">
      <w:pPr>
        <w:spacing w:after="0" w:line="240" w:lineRule="auto"/>
        <w:ind w:left="720"/>
      </w:pPr>
      <w:r w:rsidRPr="008835B4">
        <w:rPr>
          <w:rFonts w:asciiTheme="minorHAnsi" w:hAnsiTheme="minorHAnsi"/>
          <w:szCs w:val="24"/>
        </w:rPr>
        <w:t>Atlanta, Georgia 30308</w:t>
      </w:r>
      <w:r>
        <w:br w:type="page"/>
      </w:r>
    </w:p>
    <w:p w14:paraId="2C1738EC" w14:textId="77777777" w:rsidR="00304629" w:rsidRPr="00304629" w:rsidRDefault="00304629" w:rsidP="00304629">
      <w:pPr>
        <w:pStyle w:val="Title"/>
        <w:rPr>
          <w:rStyle w:val="BookTitle"/>
          <w:rFonts w:asciiTheme="majorHAnsi" w:hAnsiTheme="majorHAnsi"/>
          <w:b w:val="0"/>
          <w:bCs w:val="0"/>
          <w:i w:val="0"/>
          <w:iCs w:val="0"/>
          <w:spacing w:val="10"/>
        </w:rPr>
      </w:pPr>
      <w:r w:rsidRPr="00304629">
        <w:rPr>
          <w:rStyle w:val="BookTitle"/>
          <w:rFonts w:asciiTheme="majorHAnsi" w:hAnsiTheme="majorHAnsi"/>
          <w:b w:val="0"/>
          <w:bCs w:val="0"/>
          <w:i w:val="0"/>
          <w:iCs w:val="0"/>
          <w:spacing w:val="10"/>
        </w:rPr>
        <w:lastRenderedPageBreak/>
        <w:t>2019 INTEGRATED RESOURCE PLAN</w:t>
      </w:r>
    </w:p>
    <w:p w14:paraId="11EF85C3" w14:textId="77777777" w:rsidR="00304629" w:rsidRPr="00304629" w:rsidRDefault="00304629" w:rsidP="00304629">
      <w:pPr>
        <w:pStyle w:val="Title"/>
        <w:rPr>
          <w:rStyle w:val="BookTitle"/>
          <w:rFonts w:asciiTheme="majorHAnsi" w:hAnsiTheme="majorHAnsi"/>
          <w:b w:val="0"/>
          <w:bCs w:val="0"/>
          <w:i w:val="0"/>
          <w:iCs w:val="0"/>
          <w:spacing w:val="10"/>
        </w:rPr>
      </w:pPr>
      <w:r w:rsidRPr="00304629">
        <w:rPr>
          <w:rStyle w:val="BookTitle"/>
          <w:rFonts w:asciiTheme="majorHAnsi" w:hAnsiTheme="majorHAnsi"/>
          <w:b w:val="0"/>
          <w:bCs w:val="0"/>
          <w:i w:val="0"/>
          <w:iCs w:val="0"/>
          <w:spacing w:val="10"/>
        </w:rPr>
        <w:t>TABLE OF CONTENTS</w:t>
      </w:r>
    </w:p>
    <w:p w14:paraId="34EC7571" w14:textId="77777777" w:rsidR="00912788" w:rsidRPr="00614FD0" w:rsidRDefault="00912788" w:rsidP="0058673F"/>
    <w:sdt>
      <w:sdtPr>
        <w:rPr>
          <w:rStyle w:val="SubtleEmphasis"/>
          <w:rFonts w:eastAsiaTheme="minorHAnsi" w:cstheme="minorBidi"/>
          <w:szCs w:val="22"/>
        </w:rPr>
        <w:id w:val="-2007584024"/>
        <w:docPartObj>
          <w:docPartGallery w:val="Table of Contents"/>
          <w:docPartUnique/>
        </w:docPartObj>
      </w:sdtPr>
      <w:sdtEndPr>
        <w:rPr>
          <w:rStyle w:val="DefaultParagraphFont"/>
          <w:rFonts w:ascii="Arial" w:hAnsi="Arial"/>
          <w:b/>
          <w:bCs/>
          <w:iCs w:val="0"/>
          <w:caps w:val="0"/>
          <w:noProof/>
          <w:color w:val="4D4D4D" w:themeColor="text2"/>
          <w:sz w:val="22"/>
        </w:rPr>
      </w:sdtEndPr>
      <w:sdtContent>
        <w:p w14:paraId="1EC19F05" w14:textId="58DCB5A7" w:rsidR="00535FFB" w:rsidRPr="000B19A8" w:rsidRDefault="00535FFB" w:rsidP="00D93ECD">
          <w:pPr>
            <w:pStyle w:val="TOCHeading"/>
            <w:pageBreakBefore w:val="0"/>
            <w:numPr>
              <w:ilvl w:val="0"/>
              <w:numId w:val="0"/>
            </w:numPr>
            <w:spacing w:line="360" w:lineRule="auto"/>
            <w:rPr>
              <w:rStyle w:val="SubtleEmphasis"/>
            </w:rPr>
          </w:pPr>
          <w:r w:rsidRPr="000B19A8">
            <w:rPr>
              <w:rStyle w:val="SubtleEmphasis"/>
            </w:rPr>
            <w:t>Contents</w:t>
          </w:r>
        </w:p>
        <w:p w14:paraId="17A5D1D8" w14:textId="45185FB7" w:rsidR="000F5104" w:rsidRDefault="00D93ECD">
          <w:pPr>
            <w:pStyle w:val="TOC1"/>
            <w:rPr>
              <w:rFonts w:asciiTheme="minorHAnsi" w:eastAsiaTheme="minorEastAsia" w:hAnsiTheme="minorHAnsi"/>
              <w:color w:val="auto"/>
              <w:sz w:val="22"/>
            </w:rPr>
          </w:pPr>
          <w:r>
            <w:fldChar w:fldCharType="begin"/>
          </w:r>
          <w:r>
            <w:instrText xml:space="preserve"> TOC \o "1-2" \h \z \u </w:instrText>
          </w:r>
          <w:r>
            <w:fldChar w:fldCharType="separate"/>
          </w:r>
          <w:hyperlink w:anchor="_Toc536209108" w:history="1">
            <w:r w:rsidR="000F5104" w:rsidRPr="008C15FB">
              <w:rPr>
                <w:rStyle w:val="Hyperlink"/>
              </w:rPr>
              <w:t>CHAPTER 1. EXECUTIVE SUMMARY</w:t>
            </w:r>
            <w:r w:rsidR="000F5104">
              <w:rPr>
                <w:webHidden/>
              </w:rPr>
              <w:tab/>
            </w:r>
            <w:r w:rsidR="000F5104">
              <w:rPr>
                <w:webHidden/>
              </w:rPr>
              <w:fldChar w:fldCharType="begin"/>
            </w:r>
            <w:r w:rsidR="000F5104">
              <w:rPr>
                <w:webHidden/>
              </w:rPr>
              <w:instrText xml:space="preserve"> PAGEREF _Toc536209108 \h </w:instrText>
            </w:r>
            <w:r w:rsidR="000F5104">
              <w:rPr>
                <w:webHidden/>
              </w:rPr>
            </w:r>
            <w:r w:rsidR="000F5104">
              <w:rPr>
                <w:webHidden/>
              </w:rPr>
              <w:fldChar w:fldCharType="separate"/>
            </w:r>
            <w:r w:rsidR="000F5104">
              <w:rPr>
                <w:webHidden/>
              </w:rPr>
              <w:t>1-1</w:t>
            </w:r>
            <w:r w:rsidR="000F5104">
              <w:rPr>
                <w:webHidden/>
              </w:rPr>
              <w:fldChar w:fldCharType="end"/>
            </w:r>
          </w:hyperlink>
        </w:p>
        <w:p w14:paraId="4F7000E4" w14:textId="07016718" w:rsidR="000F5104" w:rsidRDefault="00741DE0">
          <w:pPr>
            <w:pStyle w:val="TOC2"/>
            <w:rPr>
              <w:rFonts w:asciiTheme="minorHAnsi" w:eastAsiaTheme="minorEastAsia" w:hAnsiTheme="minorHAnsi"/>
              <w:noProof/>
              <w:color w:val="auto"/>
            </w:rPr>
          </w:pPr>
          <w:hyperlink w:anchor="_Toc536209109" w:history="1">
            <w:r w:rsidR="000F5104" w:rsidRPr="008C15FB">
              <w:rPr>
                <w:rStyle w:val="Hyperlink"/>
                <w:noProof/>
                <w14:scene3d>
                  <w14:camera w14:prst="orthographicFront"/>
                  <w14:lightRig w14:rig="threePt" w14:dir="t">
                    <w14:rot w14:lat="0" w14:lon="0" w14:rev="0"/>
                  </w14:lightRig>
                </w14:scene3d>
              </w:rPr>
              <w:t>1.1.</w:t>
            </w:r>
            <w:r w:rsidR="000F5104" w:rsidRPr="008C15FB">
              <w:rPr>
                <w:rStyle w:val="Hyperlink"/>
                <w:noProof/>
              </w:rPr>
              <w:t xml:space="preserve"> Reliability and Seasonal Planning</w:t>
            </w:r>
            <w:r w:rsidR="000F5104">
              <w:rPr>
                <w:noProof/>
                <w:webHidden/>
              </w:rPr>
              <w:tab/>
            </w:r>
            <w:r w:rsidR="000F5104">
              <w:rPr>
                <w:noProof/>
                <w:webHidden/>
              </w:rPr>
              <w:fldChar w:fldCharType="begin"/>
            </w:r>
            <w:r w:rsidR="000F5104">
              <w:rPr>
                <w:noProof/>
                <w:webHidden/>
              </w:rPr>
              <w:instrText xml:space="preserve"> PAGEREF _Toc536209109 \h </w:instrText>
            </w:r>
            <w:r w:rsidR="000F5104">
              <w:rPr>
                <w:noProof/>
                <w:webHidden/>
              </w:rPr>
            </w:r>
            <w:r w:rsidR="000F5104">
              <w:rPr>
                <w:noProof/>
                <w:webHidden/>
              </w:rPr>
              <w:fldChar w:fldCharType="separate"/>
            </w:r>
            <w:r w:rsidR="000F5104">
              <w:rPr>
                <w:noProof/>
                <w:webHidden/>
              </w:rPr>
              <w:t>1-2</w:t>
            </w:r>
            <w:r w:rsidR="000F5104">
              <w:rPr>
                <w:noProof/>
                <w:webHidden/>
              </w:rPr>
              <w:fldChar w:fldCharType="end"/>
            </w:r>
          </w:hyperlink>
        </w:p>
        <w:p w14:paraId="16DF183A" w14:textId="1D5C9353" w:rsidR="000F5104" w:rsidRDefault="00741DE0">
          <w:pPr>
            <w:pStyle w:val="TOC2"/>
            <w:rPr>
              <w:rFonts w:asciiTheme="minorHAnsi" w:eastAsiaTheme="minorEastAsia" w:hAnsiTheme="minorHAnsi"/>
              <w:noProof/>
              <w:color w:val="auto"/>
            </w:rPr>
          </w:pPr>
          <w:hyperlink w:anchor="_Toc536209110" w:history="1">
            <w:r w:rsidR="000F5104" w:rsidRPr="008C15FB">
              <w:rPr>
                <w:rStyle w:val="Hyperlink"/>
                <w:noProof/>
                <w14:scene3d>
                  <w14:camera w14:prst="orthographicFront"/>
                  <w14:lightRig w14:rig="threePt" w14:dir="t">
                    <w14:rot w14:lat="0" w14:lon="0" w14:rev="0"/>
                  </w14:lightRig>
                </w14:scene3d>
              </w:rPr>
              <w:t>1.2.</w:t>
            </w:r>
            <w:r w:rsidR="000F5104" w:rsidRPr="008C15FB">
              <w:rPr>
                <w:rStyle w:val="Hyperlink"/>
                <w:noProof/>
              </w:rPr>
              <w:t xml:space="preserve"> Load and Energy Forecasts</w:t>
            </w:r>
            <w:r w:rsidR="000F5104">
              <w:rPr>
                <w:noProof/>
                <w:webHidden/>
              </w:rPr>
              <w:tab/>
            </w:r>
            <w:r w:rsidR="000F5104">
              <w:rPr>
                <w:noProof/>
                <w:webHidden/>
              </w:rPr>
              <w:fldChar w:fldCharType="begin"/>
            </w:r>
            <w:r w:rsidR="000F5104">
              <w:rPr>
                <w:noProof/>
                <w:webHidden/>
              </w:rPr>
              <w:instrText xml:space="preserve"> PAGEREF _Toc536209110 \h </w:instrText>
            </w:r>
            <w:r w:rsidR="000F5104">
              <w:rPr>
                <w:noProof/>
                <w:webHidden/>
              </w:rPr>
            </w:r>
            <w:r w:rsidR="000F5104">
              <w:rPr>
                <w:noProof/>
                <w:webHidden/>
              </w:rPr>
              <w:fldChar w:fldCharType="separate"/>
            </w:r>
            <w:r w:rsidR="000F5104">
              <w:rPr>
                <w:noProof/>
                <w:webHidden/>
              </w:rPr>
              <w:t>1-3</w:t>
            </w:r>
            <w:r w:rsidR="000F5104">
              <w:rPr>
                <w:noProof/>
                <w:webHidden/>
              </w:rPr>
              <w:fldChar w:fldCharType="end"/>
            </w:r>
          </w:hyperlink>
        </w:p>
        <w:p w14:paraId="07B1240B" w14:textId="3BE81F3D" w:rsidR="000F5104" w:rsidRDefault="00741DE0">
          <w:pPr>
            <w:pStyle w:val="TOC2"/>
            <w:rPr>
              <w:rFonts w:asciiTheme="minorHAnsi" w:eastAsiaTheme="minorEastAsia" w:hAnsiTheme="minorHAnsi"/>
              <w:noProof/>
              <w:color w:val="auto"/>
            </w:rPr>
          </w:pPr>
          <w:hyperlink w:anchor="_Toc536209111" w:history="1">
            <w:r w:rsidR="000F5104" w:rsidRPr="008C15FB">
              <w:rPr>
                <w:rStyle w:val="Hyperlink"/>
                <w:noProof/>
                <w14:scene3d>
                  <w14:camera w14:prst="orthographicFront"/>
                  <w14:lightRig w14:rig="threePt" w14:dir="t">
                    <w14:rot w14:lat="0" w14:lon="0" w14:rev="0"/>
                  </w14:lightRig>
                </w14:scene3d>
              </w:rPr>
              <w:t>1.3.</w:t>
            </w:r>
            <w:r w:rsidR="000F5104" w:rsidRPr="008C15FB">
              <w:rPr>
                <w:rStyle w:val="Hyperlink"/>
                <w:noProof/>
              </w:rPr>
              <w:t xml:space="preserve"> Demand-Side Strategy</w:t>
            </w:r>
            <w:r w:rsidR="000F5104">
              <w:rPr>
                <w:noProof/>
                <w:webHidden/>
              </w:rPr>
              <w:tab/>
            </w:r>
            <w:r w:rsidR="000F5104">
              <w:rPr>
                <w:noProof/>
                <w:webHidden/>
              </w:rPr>
              <w:fldChar w:fldCharType="begin"/>
            </w:r>
            <w:r w:rsidR="000F5104">
              <w:rPr>
                <w:noProof/>
                <w:webHidden/>
              </w:rPr>
              <w:instrText xml:space="preserve"> PAGEREF _Toc536209111 \h </w:instrText>
            </w:r>
            <w:r w:rsidR="000F5104">
              <w:rPr>
                <w:noProof/>
                <w:webHidden/>
              </w:rPr>
            </w:r>
            <w:r w:rsidR="000F5104">
              <w:rPr>
                <w:noProof/>
                <w:webHidden/>
              </w:rPr>
              <w:fldChar w:fldCharType="separate"/>
            </w:r>
            <w:r w:rsidR="000F5104">
              <w:rPr>
                <w:noProof/>
                <w:webHidden/>
              </w:rPr>
              <w:t>1-3</w:t>
            </w:r>
            <w:r w:rsidR="000F5104">
              <w:rPr>
                <w:noProof/>
                <w:webHidden/>
              </w:rPr>
              <w:fldChar w:fldCharType="end"/>
            </w:r>
          </w:hyperlink>
        </w:p>
        <w:p w14:paraId="31C06B9A" w14:textId="168A3296" w:rsidR="000F5104" w:rsidRDefault="00741DE0">
          <w:pPr>
            <w:pStyle w:val="TOC2"/>
            <w:rPr>
              <w:rFonts w:asciiTheme="minorHAnsi" w:eastAsiaTheme="minorEastAsia" w:hAnsiTheme="minorHAnsi"/>
              <w:noProof/>
              <w:color w:val="auto"/>
            </w:rPr>
          </w:pPr>
          <w:hyperlink w:anchor="_Toc536209112" w:history="1">
            <w:r w:rsidR="000F5104" w:rsidRPr="008C15FB">
              <w:rPr>
                <w:rStyle w:val="Hyperlink"/>
                <w:noProof/>
                <w14:scene3d>
                  <w14:camera w14:prst="orthographicFront"/>
                  <w14:lightRig w14:rig="threePt" w14:dir="t">
                    <w14:rot w14:lat="0" w14:lon="0" w14:rev="0"/>
                  </w14:lightRig>
                </w14:scene3d>
              </w:rPr>
              <w:t>1.4.</w:t>
            </w:r>
            <w:r w:rsidR="000F5104" w:rsidRPr="008C15FB">
              <w:rPr>
                <w:rStyle w:val="Hyperlink"/>
                <w:noProof/>
              </w:rPr>
              <w:t xml:space="preserve"> Supply-Side Strategy</w:t>
            </w:r>
            <w:r w:rsidR="000F5104">
              <w:rPr>
                <w:noProof/>
                <w:webHidden/>
              </w:rPr>
              <w:tab/>
            </w:r>
            <w:r w:rsidR="000F5104">
              <w:rPr>
                <w:noProof/>
                <w:webHidden/>
              </w:rPr>
              <w:fldChar w:fldCharType="begin"/>
            </w:r>
            <w:r w:rsidR="000F5104">
              <w:rPr>
                <w:noProof/>
                <w:webHidden/>
              </w:rPr>
              <w:instrText xml:space="preserve"> PAGEREF _Toc536209112 \h </w:instrText>
            </w:r>
            <w:r w:rsidR="000F5104">
              <w:rPr>
                <w:noProof/>
                <w:webHidden/>
              </w:rPr>
            </w:r>
            <w:r w:rsidR="000F5104">
              <w:rPr>
                <w:noProof/>
                <w:webHidden/>
              </w:rPr>
              <w:fldChar w:fldCharType="separate"/>
            </w:r>
            <w:r w:rsidR="000F5104">
              <w:rPr>
                <w:noProof/>
                <w:webHidden/>
              </w:rPr>
              <w:t>1-4</w:t>
            </w:r>
            <w:r w:rsidR="000F5104">
              <w:rPr>
                <w:noProof/>
                <w:webHidden/>
              </w:rPr>
              <w:fldChar w:fldCharType="end"/>
            </w:r>
          </w:hyperlink>
        </w:p>
        <w:p w14:paraId="3DECAFDD" w14:textId="574A6748" w:rsidR="000F5104" w:rsidRDefault="00741DE0">
          <w:pPr>
            <w:pStyle w:val="TOC2"/>
            <w:rPr>
              <w:rFonts w:asciiTheme="minorHAnsi" w:eastAsiaTheme="minorEastAsia" w:hAnsiTheme="minorHAnsi"/>
              <w:noProof/>
              <w:color w:val="auto"/>
            </w:rPr>
          </w:pPr>
          <w:hyperlink w:anchor="_Toc536209113" w:history="1">
            <w:r w:rsidR="000F5104" w:rsidRPr="008C15FB">
              <w:rPr>
                <w:rStyle w:val="Hyperlink"/>
                <w:noProof/>
                <w14:scene3d>
                  <w14:camera w14:prst="orthographicFront"/>
                  <w14:lightRig w14:rig="threePt" w14:dir="t">
                    <w14:rot w14:lat="0" w14:lon="0" w14:rev="0"/>
                  </w14:lightRig>
                </w14:scene3d>
              </w:rPr>
              <w:t>1.5.</w:t>
            </w:r>
            <w:r w:rsidR="000F5104" w:rsidRPr="008C15FB">
              <w:rPr>
                <w:rStyle w:val="Hyperlink"/>
                <w:noProof/>
              </w:rPr>
              <w:t xml:space="preserve"> Renewable Resources</w:t>
            </w:r>
            <w:r w:rsidR="000F5104">
              <w:rPr>
                <w:noProof/>
                <w:webHidden/>
              </w:rPr>
              <w:tab/>
            </w:r>
            <w:r w:rsidR="000F5104">
              <w:rPr>
                <w:noProof/>
                <w:webHidden/>
              </w:rPr>
              <w:fldChar w:fldCharType="begin"/>
            </w:r>
            <w:r w:rsidR="000F5104">
              <w:rPr>
                <w:noProof/>
                <w:webHidden/>
              </w:rPr>
              <w:instrText xml:space="preserve"> PAGEREF _Toc536209113 \h </w:instrText>
            </w:r>
            <w:r w:rsidR="000F5104">
              <w:rPr>
                <w:noProof/>
                <w:webHidden/>
              </w:rPr>
            </w:r>
            <w:r w:rsidR="000F5104">
              <w:rPr>
                <w:noProof/>
                <w:webHidden/>
              </w:rPr>
              <w:fldChar w:fldCharType="separate"/>
            </w:r>
            <w:r w:rsidR="000F5104">
              <w:rPr>
                <w:noProof/>
                <w:webHidden/>
              </w:rPr>
              <w:t>1-5</w:t>
            </w:r>
            <w:r w:rsidR="000F5104">
              <w:rPr>
                <w:noProof/>
                <w:webHidden/>
              </w:rPr>
              <w:fldChar w:fldCharType="end"/>
            </w:r>
          </w:hyperlink>
        </w:p>
        <w:p w14:paraId="3C237E9D" w14:textId="23F49011" w:rsidR="000F5104" w:rsidRDefault="00741DE0">
          <w:pPr>
            <w:pStyle w:val="TOC2"/>
            <w:rPr>
              <w:rFonts w:asciiTheme="minorHAnsi" w:eastAsiaTheme="minorEastAsia" w:hAnsiTheme="minorHAnsi"/>
              <w:noProof/>
              <w:color w:val="auto"/>
            </w:rPr>
          </w:pPr>
          <w:hyperlink w:anchor="_Toc536209114" w:history="1">
            <w:r w:rsidR="000F5104" w:rsidRPr="008C15FB">
              <w:rPr>
                <w:rStyle w:val="Hyperlink"/>
                <w:noProof/>
                <w14:scene3d>
                  <w14:camera w14:prst="orthographicFront"/>
                  <w14:lightRig w14:rig="threePt" w14:dir="t">
                    <w14:rot w14:lat="0" w14:lon="0" w14:rev="0"/>
                  </w14:lightRig>
                </w14:scene3d>
              </w:rPr>
              <w:t>1.6.</w:t>
            </w:r>
            <w:r w:rsidR="000F5104" w:rsidRPr="008C15FB">
              <w:rPr>
                <w:rStyle w:val="Hyperlink"/>
                <w:noProof/>
              </w:rPr>
              <w:t xml:space="preserve"> Environmental Strategy</w:t>
            </w:r>
            <w:r w:rsidR="000F5104">
              <w:rPr>
                <w:noProof/>
                <w:webHidden/>
              </w:rPr>
              <w:tab/>
            </w:r>
            <w:r w:rsidR="000F5104">
              <w:rPr>
                <w:noProof/>
                <w:webHidden/>
              </w:rPr>
              <w:fldChar w:fldCharType="begin"/>
            </w:r>
            <w:r w:rsidR="000F5104">
              <w:rPr>
                <w:noProof/>
                <w:webHidden/>
              </w:rPr>
              <w:instrText xml:space="preserve"> PAGEREF _Toc536209114 \h </w:instrText>
            </w:r>
            <w:r w:rsidR="000F5104">
              <w:rPr>
                <w:noProof/>
                <w:webHidden/>
              </w:rPr>
            </w:r>
            <w:r w:rsidR="000F5104">
              <w:rPr>
                <w:noProof/>
                <w:webHidden/>
              </w:rPr>
              <w:fldChar w:fldCharType="separate"/>
            </w:r>
            <w:r w:rsidR="000F5104">
              <w:rPr>
                <w:noProof/>
                <w:webHidden/>
              </w:rPr>
              <w:t>1-6</w:t>
            </w:r>
            <w:r w:rsidR="000F5104">
              <w:rPr>
                <w:noProof/>
                <w:webHidden/>
              </w:rPr>
              <w:fldChar w:fldCharType="end"/>
            </w:r>
          </w:hyperlink>
        </w:p>
        <w:p w14:paraId="38BD11E5" w14:textId="5494F99B" w:rsidR="000F5104" w:rsidRDefault="00741DE0">
          <w:pPr>
            <w:pStyle w:val="TOC2"/>
            <w:rPr>
              <w:rFonts w:asciiTheme="minorHAnsi" w:eastAsiaTheme="minorEastAsia" w:hAnsiTheme="minorHAnsi"/>
              <w:noProof/>
              <w:color w:val="auto"/>
            </w:rPr>
          </w:pPr>
          <w:hyperlink w:anchor="_Toc536209115" w:history="1">
            <w:r w:rsidR="000F5104" w:rsidRPr="008C15FB">
              <w:rPr>
                <w:rStyle w:val="Hyperlink"/>
                <w:noProof/>
                <w14:scene3d>
                  <w14:camera w14:prst="orthographicFront"/>
                  <w14:lightRig w14:rig="threePt" w14:dir="t">
                    <w14:rot w14:lat="0" w14:lon="0" w14:rev="0"/>
                  </w14:lightRig>
                </w14:scene3d>
              </w:rPr>
              <w:t>1.7.</w:t>
            </w:r>
            <w:r w:rsidR="000F5104" w:rsidRPr="008C15FB">
              <w:rPr>
                <w:rStyle w:val="Hyperlink"/>
                <w:noProof/>
              </w:rPr>
              <w:t xml:space="preserve"> Unit Retirements</w:t>
            </w:r>
            <w:r w:rsidR="000F5104">
              <w:rPr>
                <w:noProof/>
                <w:webHidden/>
              </w:rPr>
              <w:tab/>
            </w:r>
            <w:r w:rsidR="000F5104">
              <w:rPr>
                <w:noProof/>
                <w:webHidden/>
              </w:rPr>
              <w:fldChar w:fldCharType="begin"/>
            </w:r>
            <w:r w:rsidR="000F5104">
              <w:rPr>
                <w:noProof/>
                <w:webHidden/>
              </w:rPr>
              <w:instrText xml:space="preserve"> PAGEREF _Toc536209115 \h </w:instrText>
            </w:r>
            <w:r w:rsidR="000F5104">
              <w:rPr>
                <w:noProof/>
                <w:webHidden/>
              </w:rPr>
            </w:r>
            <w:r w:rsidR="000F5104">
              <w:rPr>
                <w:noProof/>
                <w:webHidden/>
              </w:rPr>
              <w:fldChar w:fldCharType="separate"/>
            </w:r>
            <w:r w:rsidR="000F5104">
              <w:rPr>
                <w:noProof/>
                <w:webHidden/>
              </w:rPr>
              <w:t>1-7</w:t>
            </w:r>
            <w:r w:rsidR="000F5104">
              <w:rPr>
                <w:noProof/>
                <w:webHidden/>
              </w:rPr>
              <w:fldChar w:fldCharType="end"/>
            </w:r>
          </w:hyperlink>
        </w:p>
        <w:p w14:paraId="48645542" w14:textId="12A2C600" w:rsidR="000F5104" w:rsidRDefault="00741DE0">
          <w:pPr>
            <w:pStyle w:val="TOC2"/>
            <w:rPr>
              <w:rFonts w:asciiTheme="minorHAnsi" w:eastAsiaTheme="minorEastAsia" w:hAnsiTheme="minorHAnsi"/>
              <w:noProof/>
              <w:color w:val="auto"/>
            </w:rPr>
          </w:pPr>
          <w:hyperlink w:anchor="_Toc536209116" w:history="1">
            <w:r w:rsidR="000F5104" w:rsidRPr="008C15FB">
              <w:rPr>
                <w:rStyle w:val="Hyperlink"/>
                <w:noProof/>
                <w14:scene3d>
                  <w14:camera w14:prst="orthographicFront"/>
                  <w14:lightRig w14:rig="threePt" w14:dir="t">
                    <w14:rot w14:lat="0" w14:lon="0" w14:rev="0"/>
                  </w14:lightRig>
                </w14:scene3d>
              </w:rPr>
              <w:t>1.8.</w:t>
            </w:r>
            <w:r w:rsidR="000F5104" w:rsidRPr="008C15FB">
              <w:rPr>
                <w:rStyle w:val="Hyperlink"/>
                <w:noProof/>
              </w:rPr>
              <w:t xml:space="preserve"> Wholesale Generation</w:t>
            </w:r>
            <w:r w:rsidR="000F5104">
              <w:rPr>
                <w:noProof/>
                <w:webHidden/>
              </w:rPr>
              <w:tab/>
            </w:r>
            <w:r w:rsidR="000F5104">
              <w:rPr>
                <w:noProof/>
                <w:webHidden/>
              </w:rPr>
              <w:fldChar w:fldCharType="begin"/>
            </w:r>
            <w:r w:rsidR="000F5104">
              <w:rPr>
                <w:noProof/>
                <w:webHidden/>
              </w:rPr>
              <w:instrText xml:space="preserve"> PAGEREF _Toc536209116 \h </w:instrText>
            </w:r>
            <w:r w:rsidR="000F5104">
              <w:rPr>
                <w:noProof/>
                <w:webHidden/>
              </w:rPr>
            </w:r>
            <w:r w:rsidR="000F5104">
              <w:rPr>
                <w:noProof/>
                <w:webHidden/>
              </w:rPr>
              <w:fldChar w:fldCharType="separate"/>
            </w:r>
            <w:r w:rsidR="000F5104">
              <w:rPr>
                <w:noProof/>
                <w:webHidden/>
              </w:rPr>
              <w:t>1-7</w:t>
            </w:r>
            <w:r w:rsidR="000F5104">
              <w:rPr>
                <w:noProof/>
                <w:webHidden/>
              </w:rPr>
              <w:fldChar w:fldCharType="end"/>
            </w:r>
          </w:hyperlink>
        </w:p>
        <w:p w14:paraId="4C27A15D" w14:textId="3C32E4F0" w:rsidR="000F5104" w:rsidRDefault="00741DE0">
          <w:pPr>
            <w:pStyle w:val="TOC2"/>
            <w:rPr>
              <w:rFonts w:asciiTheme="minorHAnsi" w:eastAsiaTheme="minorEastAsia" w:hAnsiTheme="minorHAnsi"/>
              <w:noProof/>
              <w:color w:val="auto"/>
            </w:rPr>
          </w:pPr>
          <w:hyperlink w:anchor="_Toc536209117" w:history="1">
            <w:r w:rsidR="000F5104" w:rsidRPr="008C15FB">
              <w:rPr>
                <w:rStyle w:val="Hyperlink"/>
                <w:noProof/>
                <w14:scene3d>
                  <w14:camera w14:prst="orthographicFront"/>
                  <w14:lightRig w14:rig="threePt" w14:dir="t">
                    <w14:rot w14:lat="0" w14:lon="0" w14:rev="0"/>
                  </w14:lightRig>
                </w14:scene3d>
              </w:rPr>
              <w:t>1.9.</w:t>
            </w:r>
            <w:r w:rsidR="000F5104" w:rsidRPr="008C15FB">
              <w:rPr>
                <w:rStyle w:val="Hyperlink"/>
                <w:noProof/>
              </w:rPr>
              <w:t xml:space="preserve"> Transmission</w:t>
            </w:r>
            <w:r w:rsidR="000F5104">
              <w:rPr>
                <w:noProof/>
                <w:webHidden/>
              </w:rPr>
              <w:tab/>
            </w:r>
            <w:r w:rsidR="000F5104">
              <w:rPr>
                <w:noProof/>
                <w:webHidden/>
              </w:rPr>
              <w:fldChar w:fldCharType="begin"/>
            </w:r>
            <w:r w:rsidR="000F5104">
              <w:rPr>
                <w:noProof/>
                <w:webHidden/>
              </w:rPr>
              <w:instrText xml:space="preserve"> PAGEREF _Toc536209117 \h </w:instrText>
            </w:r>
            <w:r w:rsidR="000F5104">
              <w:rPr>
                <w:noProof/>
                <w:webHidden/>
              </w:rPr>
            </w:r>
            <w:r w:rsidR="000F5104">
              <w:rPr>
                <w:noProof/>
                <w:webHidden/>
              </w:rPr>
              <w:fldChar w:fldCharType="separate"/>
            </w:r>
            <w:r w:rsidR="000F5104">
              <w:rPr>
                <w:noProof/>
                <w:webHidden/>
              </w:rPr>
              <w:t>1-8</w:t>
            </w:r>
            <w:r w:rsidR="000F5104">
              <w:rPr>
                <w:noProof/>
                <w:webHidden/>
              </w:rPr>
              <w:fldChar w:fldCharType="end"/>
            </w:r>
          </w:hyperlink>
        </w:p>
        <w:p w14:paraId="27664534" w14:textId="1B6FDEE6" w:rsidR="000F5104" w:rsidRDefault="00741DE0">
          <w:pPr>
            <w:pStyle w:val="TOC2"/>
            <w:rPr>
              <w:rFonts w:asciiTheme="minorHAnsi" w:eastAsiaTheme="minorEastAsia" w:hAnsiTheme="minorHAnsi"/>
              <w:noProof/>
              <w:color w:val="auto"/>
            </w:rPr>
          </w:pPr>
          <w:hyperlink w:anchor="_Toc536209118" w:history="1">
            <w:r w:rsidR="000F5104" w:rsidRPr="008C15FB">
              <w:rPr>
                <w:rStyle w:val="Hyperlink"/>
                <w:noProof/>
                <w14:scene3d>
                  <w14:camera w14:prst="orthographicFront"/>
                  <w14:lightRig w14:rig="threePt" w14:dir="t">
                    <w14:rot w14:lat="0" w14:lon="0" w14:rev="0"/>
                  </w14:lightRig>
                </w14:scene3d>
              </w:rPr>
              <w:t>1.10.</w:t>
            </w:r>
            <w:r w:rsidR="000F5104" w:rsidRPr="008C15FB">
              <w:rPr>
                <w:rStyle w:val="Hyperlink"/>
                <w:noProof/>
              </w:rPr>
              <w:t xml:space="preserve"> Emerging Resilience Needs</w:t>
            </w:r>
            <w:r w:rsidR="000F5104">
              <w:rPr>
                <w:noProof/>
                <w:webHidden/>
              </w:rPr>
              <w:tab/>
            </w:r>
            <w:r w:rsidR="000F5104">
              <w:rPr>
                <w:noProof/>
                <w:webHidden/>
              </w:rPr>
              <w:fldChar w:fldCharType="begin"/>
            </w:r>
            <w:r w:rsidR="000F5104">
              <w:rPr>
                <w:noProof/>
                <w:webHidden/>
              </w:rPr>
              <w:instrText xml:space="preserve"> PAGEREF _Toc536209118 \h </w:instrText>
            </w:r>
            <w:r w:rsidR="000F5104">
              <w:rPr>
                <w:noProof/>
                <w:webHidden/>
              </w:rPr>
            </w:r>
            <w:r w:rsidR="000F5104">
              <w:rPr>
                <w:noProof/>
                <w:webHidden/>
              </w:rPr>
              <w:fldChar w:fldCharType="separate"/>
            </w:r>
            <w:r w:rsidR="000F5104">
              <w:rPr>
                <w:noProof/>
                <w:webHidden/>
              </w:rPr>
              <w:t>1-8</w:t>
            </w:r>
            <w:r w:rsidR="000F5104">
              <w:rPr>
                <w:noProof/>
                <w:webHidden/>
              </w:rPr>
              <w:fldChar w:fldCharType="end"/>
            </w:r>
          </w:hyperlink>
        </w:p>
        <w:p w14:paraId="19799C42" w14:textId="1CC787F7" w:rsidR="000F5104" w:rsidRDefault="00741DE0">
          <w:pPr>
            <w:pStyle w:val="TOC2"/>
            <w:rPr>
              <w:rFonts w:asciiTheme="minorHAnsi" w:eastAsiaTheme="minorEastAsia" w:hAnsiTheme="minorHAnsi"/>
              <w:noProof/>
              <w:color w:val="auto"/>
            </w:rPr>
          </w:pPr>
          <w:hyperlink w:anchor="_Toc536209119" w:history="1">
            <w:r w:rsidR="000F5104" w:rsidRPr="008C15FB">
              <w:rPr>
                <w:rStyle w:val="Hyperlink"/>
                <w:noProof/>
                <w14:scene3d>
                  <w14:camera w14:prst="orthographicFront"/>
                  <w14:lightRig w14:rig="threePt" w14:dir="t">
                    <w14:rot w14:lat="0" w14:lon="0" w14:rev="0"/>
                  </w14:lightRig>
                </w14:scene3d>
              </w:rPr>
              <w:t>1.11.</w:t>
            </w:r>
            <w:r w:rsidR="000F5104" w:rsidRPr="008C15FB">
              <w:rPr>
                <w:rStyle w:val="Hyperlink"/>
                <w:noProof/>
              </w:rPr>
              <w:t xml:space="preserve"> Conclusion</w:t>
            </w:r>
            <w:r w:rsidR="000F5104">
              <w:rPr>
                <w:noProof/>
                <w:webHidden/>
              </w:rPr>
              <w:tab/>
            </w:r>
            <w:r w:rsidR="000F5104">
              <w:rPr>
                <w:noProof/>
                <w:webHidden/>
              </w:rPr>
              <w:fldChar w:fldCharType="begin"/>
            </w:r>
            <w:r w:rsidR="000F5104">
              <w:rPr>
                <w:noProof/>
                <w:webHidden/>
              </w:rPr>
              <w:instrText xml:space="preserve"> PAGEREF _Toc536209119 \h </w:instrText>
            </w:r>
            <w:r w:rsidR="000F5104">
              <w:rPr>
                <w:noProof/>
                <w:webHidden/>
              </w:rPr>
            </w:r>
            <w:r w:rsidR="000F5104">
              <w:rPr>
                <w:noProof/>
                <w:webHidden/>
              </w:rPr>
              <w:fldChar w:fldCharType="separate"/>
            </w:r>
            <w:r w:rsidR="000F5104">
              <w:rPr>
                <w:noProof/>
                <w:webHidden/>
              </w:rPr>
              <w:t>1-8</w:t>
            </w:r>
            <w:r w:rsidR="000F5104">
              <w:rPr>
                <w:noProof/>
                <w:webHidden/>
              </w:rPr>
              <w:fldChar w:fldCharType="end"/>
            </w:r>
          </w:hyperlink>
        </w:p>
        <w:p w14:paraId="696C4493" w14:textId="297DE4EE" w:rsidR="000F5104" w:rsidRDefault="00741DE0">
          <w:pPr>
            <w:pStyle w:val="TOC1"/>
            <w:rPr>
              <w:rFonts w:asciiTheme="minorHAnsi" w:eastAsiaTheme="minorEastAsia" w:hAnsiTheme="minorHAnsi"/>
              <w:color w:val="auto"/>
              <w:sz w:val="22"/>
            </w:rPr>
          </w:pPr>
          <w:hyperlink w:anchor="_Toc536209120" w:history="1">
            <w:r w:rsidR="000F5104" w:rsidRPr="008C15FB">
              <w:rPr>
                <w:rStyle w:val="Hyperlink"/>
              </w:rPr>
              <w:t>CHAPTER 2. COMPANY OVERVIEW</w:t>
            </w:r>
            <w:r w:rsidR="000F5104">
              <w:rPr>
                <w:webHidden/>
              </w:rPr>
              <w:tab/>
            </w:r>
            <w:r w:rsidR="000F5104">
              <w:rPr>
                <w:webHidden/>
              </w:rPr>
              <w:fldChar w:fldCharType="begin"/>
            </w:r>
            <w:r w:rsidR="000F5104">
              <w:rPr>
                <w:webHidden/>
              </w:rPr>
              <w:instrText xml:space="preserve"> PAGEREF _Toc536209120 \h </w:instrText>
            </w:r>
            <w:r w:rsidR="000F5104">
              <w:rPr>
                <w:webHidden/>
              </w:rPr>
            </w:r>
            <w:r w:rsidR="000F5104">
              <w:rPr>
                <w:webHidden/>
              </w:rPr>
              <w:fldChar w:fldCharType="separate"/>
            </w:r>
            <w:r w:rsidR="000F5104">
              <w:rPr>
                <w:webHidden/>
              </w:rPr>
              <w:t>2-11</w:t>
            </w:r>
            <w:r w:rsidR="000F5104">
              <w:rPr>
                <w:webHidden/>
              </w:rPr>
              <w:fldChar w:fldCharType="end"/>
            </w:r>
          </w:hyperlink>
        </w:p>
        <w:p w14:paraId="798FA8DF" w14:textId="11E4FA5F" w:rsidR="000F5104" w:rsidRDefault="00741DE0">
          <w:pPr>
            <w:pStyle w:val="TOC1"/>
            <w:rPr>
              <w:rFonts w:asciiTheme="minorHAnsi" w:eastAsiaTheme="minorEastAsia" w:hAnsiTheme="minorHAnsi"/>
              <w:color w:val="auto"/>
              <w:sz w:val="22"/>
            </w:rPr>
          </w:pPr>
          <w:hyperlink w:anchor="_Toc536209121" w:history="1">
            <w:r w:rsidR="000F5104" w:rsidRPr="008C15FB">
              <w:rPr>
                <w:rStyle w:val="Hyperlink"/>
              </w:rPr>
              <w:t>CHAPTER 3. EXECUTION OF THE 2016 IRP ORDER</w:t>
            </w:r>
            <w:r w:rsidR="000F5104">
              <w:rPr>
                <w:webHidden/>
              </w:rPr>
              <w:tab/>
            </w:r>
            <w:r w:rsidR="000F5104">
              <w:rPr>
                <w:webHidden/>
              </w:rPr>
              <w:fldChar w:fldCharType="begin"/>
            </w:r>
            <w:r w:rsidR="000F5104">
              <w:rPr>
                <w:webHidden/>
              </w:rPr>
              <w:instrText xml:space="preserve"> PAGEREF _Toc536209121 \h </w:instrText>
            </w:r>
            <w:r w:rsidR="000F5104">
              <w:rPr>
                <w:webHidden/>
              </w:rPr>
            </w:r>
            <w:r w:rsidR="000F5104">
              <w:rPr>
                <w:webHidden/>
              </w:rPr>
              <w:fldChar w:fldCharType="separate"/>
            </w:r>
            <w:r w:rsidR="000F5104">
              <w:rPr>
                <w:webHidden/>
              </w:rPr>
              <w:t>3-13</w:t>
            </w:r>
            <w:r w:rsidR="000F5104">
              <w:rPr>
                <w:webHidden/>
              </w:rPr>
              <w:fldChar w:fldCharType="end"/>
            </w:r>
          </w:hyperlink>
        </w:p>
        <w:p w14:paraId="174E5B51" w14:textId="7F655C95" w:rsidR="000F5104" w:rsidRDefault="00741DE0">
          <w:pPr>
            <w:pStyle w:val="TOC1"/>
            <w:rPr>
              <w:rFonts w:asciiTheme="minorHAnsi" w:eastAsiaTheme="minorEastAsia" w:hAnsiTheme="minorHAnsi"/>
              <w:color w:val="auto"/>
              <w:sz w:val="22"/>
            </w:rPr>
          </w:pPr>
          <w:hyperlink w:anchor="_Toc536209122" w:history="1">
            <w:r w:rsidR="000F5104" w:rsidRPr="008C15FB">
              <w:rPr>
                <w:rStyle w:val="Hyperlink"/>
              </w:rPr>
              <w:t>CHAPTER 4. INTEGRATED RESOURCE PLANNING OVERVIEW</w:t>
            </w:r>
            <w:r w:rsidR="000F5104">
              <w:rPr>
                <w:webHidden/>
              </w:rPr>
              <w:tab/>
            </w:r>
            <w:r w:rsidR="000F5104">
              <w:rPr>
                <w:webHidden/>
              </w:rPr>
              <w:fldChar w:fldCharType="begin"/>
            </w:r>
            <w:r w:rsidR="000F5104">
              <w:rPr>
                <w:webHidden/>
              </w:rPr>
              <w:instrText xml:space="preserve"> PAGEREF _Toc536209122 \h </w:instrText>
            </w:r>
            <w:r w:rsidR="000F5104">
              <w:rPr>
                <w:webHidden/>
              </w:rPr>
            </w:r>
            <w:r w:rsidR="000F5104">
              <w:rPr>
                <w:webHidden/>
              </w:rPr>
              <w:fldChar w:fldCharType="separate"/>
            </w:r>
            <w:r w:rsidR="000F5104">
              <w:rPr>
                <w:webHidden/>
              </w:rPr>
              <w:t>4-16</w:t>
            </w:r>
            <w:r w:rsidR="000F5104">
              <w:rPr>
                <w:webHidden/>
              </w:rPr>
              <w:fldChar w:fldCharType="end"/>
            </w:r>
          </w:hyperlink>
        </w:p>
        <w:p w14:paraId="3411DFE9" w14:textId="486594E2" w:rsidR="000F5104" w:rsidRDefault="00741DE0">
          <w:pPr>
            <w:pStyle w:val="TOC2"/>
            <w:rPr>
              <w:rFonts w:asciiTheme="minorHAnsi" w:eastAsiaTheme="minorEastAsia" w:hAnsiTheme="minorHAnsi"/>
              <w:noProof/>
              <w:color w:val="auto"/>
            </w:rPr>
          </w:pPr>
          <w:hyperlink w:anchor="_Toc536209123" w:history="1">
            <w:r w:rsidR="000F5104" w:rsidRPr="008C15FB">
              <w:rPr>
                <w:rStyle w:val="Hyperlink"/>
                <w:noProof/>
                <w14:scene3d>
                  <w14:camera w14:prst="orthographicFront"/>
                  <w14:lightRig w14:rig="threePt" w14:dir="t">
                    <w14:rot w14:lat="0" w14:lon="0" w14:rev="0"/>
                  </w14:lightRig>
                </w14:scene3d>
              </w:rPr>
              <w:t>4.1.</w:t>
            </w:r>
            <w:r w:rsidR="000F5104" w:rsidRPr="008C15FB">
              <w:rPr>
                <w:rStyle w:val="Hyperlink"/>
                <w:noProof/>
              </w:rPr>
              <w:t xml:space="preserve"> Outline of the Process</w:t>
            </w:r>
            <w:r w:rsidR="000F5104">
              <w:rPr>
                <w:noProof/>
                <w:webHidden/>
              </w:rPr>
              <w:tab/>
            </w:r>
            <w:r w:rsidR="000F5104">
              <w:rPr>
                <w:noProof/>
                <w:webHidden/>
              </w:rPr>
              <w:fldChar w:fldCharType="begin"/>
            </w:r>
            <w:r w:rsidR="000F5104">
              <w:rPr>
                <w:noProof/>
                <w:webHidden/>
              </w:rPr>
              <w:instrText xml:space="preserve"> PAGEREF _Toc536209123 \h </w:instrText>
            </w:r>
            <w:r w:rsidR="000F5104">
              <w:rPr>
                <w:noProof/>
                <w:webHidden/>
              </w:rPr>
            </w:r>
            <w:r w:rsidR="000F5104">
              <w:rPr>
                <w:noProof/>
                <w:webHidden/>
              </w:rPr>
              <w:fldChar w:fldCharType="separate"/>
            </w:r>
            <w:r w:rsidR="000F5104">
              <w:rPr>
                <w:noProof/>
                <w:webHidden/>
              </w:rPr>
              <w:t>4-16</w:t>
            </w:r>
            <w:r w:rsidR="000F5104">
              <w:rPr>
                <w:noProof/>
                <w:webHidden/>
              </w:rPr>
              <w:fldChar w:fldCharType="end"/>
            </w:r>
          </w:hyperlink>
        </w:p>
        <w:p w14:paraId="2CC7AAF0" w14:textId="664FC7A7" w:rsidR="000F5104" w:rsidRDefault="00741DE0">
          <w:pPr>
            <w:pStyle w:val="TOC2"/>
            <w:rPr>
              <w:rFonts w:asciiTheme="minorHAnsi" w:eastAsiaTheme="minorEastAsia" w:hAnsiTheme="minorHAnsi"/>
              <w:noProof/>
              <w:color w:val="auto"/>
            </w:rPr>
          </w:pPr>
          <w:hyperlink w:anchor="_Toc536209124" w:history="1">
            <w:r w:rsidR="000F5104" w:rsidRPr="008C15FB">
              <w:rPr>
                <w:rStyle w:val="Hyperlink"/>
                <w:noProof/>
                <w14:scene3d>
                  <w14:camera w14:prst="orthographicFront"/>
                  <w14:lightRig w14:rig="threePt" w14:dir="t">
                    <w14:rot w14:lat="0" w14:lon="0" w14:rev="0"/>
                  </w14:lightRig>
                </w14:scene3d>
              </w:rPr>
              <w:t>4.2.</w:t>
            </w:r>
            <w:r w:rsidR="000F5104" w:rsidRPr="008C15FB">
              <w:rPr>
                <w:rStyle w:val="Hyperlink"/>
                <w:noProof/>
              </w:rPr>
              <w:t xml:space="preserve"> Inputs to the Integrated Resource Plan</w:t>
            </w:r>
            <w:r w:rsidR="000F5104">
              <w:rPr>
                <w:noProof/>
                <w:webHidden/>
              </w:rPr>
              <w:tab/>
            </w:r>
            <w:r w:rsidR="000F5104">
              <w:rPr>
                <w:noProof/>
                <w:webHidden/>
              </w:rPr>
              <w:fldChar w:fldCharType="begin"/>
            </w:r>
            <w:r w:rsidR="000F5104">
              <w:rPr>
                <w:noProof/>
                <w:webHidden/>
              </w:rPr>
              <w:instrText xml:space="preserve"> PAGEREF _Toc536209124 \h </w:instrText>
            </w:r>
            <w:r w:rsidR="000F5104">
              <w:rPr>
                <w:noProof/>
                <w:webHidden/>
              </w:rPr>
            </w:r>
            <w:r w:rsidR="000F5104">
              <w:rPr>
                <w:noProof/>
                <w:webHidden/>
              </w:rPr>
              <w:fldChar w:fldCharType="separate"/>
            </w:r>
            <w:r w:rsidR="000F5104">
              <w:rPr>
                <w:noProof/>
                <w:webHidden/>
              </w:rPr>
              <w:t>4-18</w:t>
            </w:r>
            <w:r w:rsidR="000F5104">
              <w:rPr>
                <w:noProof/>
                <w:webHidden/>
              </w:rPr>
              <w:fldChar w:fldCharType="end"/>
            </w:r>
          </w:hyperlink>
        </w:p>
        <w:p w14:paraId="02F582FF" w14:textId="496DFE7F" w:rsidR="000F5104" w:rsidRDefault="00741DE0">
          <w:pPr>
            <w:pStyle w:val="TOC2"/>
            <w:rPr>
              <w:rFonts w:asciiTheme="minorHAnsi" w:eastAsiaTheme="minorEastAsia" w:hAnsiTheme="minorHAnsi"/>
              <w:noProof/>
              <w:color w:val="auto"/>
            </w:rPr>
          </w:pPr>
          <w:hyperlink w:anchor="_Toc536209125" w:history="1">
            <w:r w:rsidR="000F5104" w:rsidRPr="008C15FB">
              <w:rPr>
                <w:rStyle w:val="Hyperlink"/>
                <w:noProof/>
                <w14:scene3d>
                  <w14:camera w14:prst="orthographicFront"/>
                  <w14:lightRig w14:rig="threePt" w14:dir="t">
                    <w14:rot w14:lat="0" w14:lon="0" w14:rev="0"/>
                  </w14:lightRig>
                </w14:scene3d>
              </w:rPr>
              <w:t>4.3.</w:t>
            </w:r>
            <w:r w:rsidR="000F5104" w:rsidRPr="008C15FB">
              <w:rPr>
                <w:rStyle w:val="Hyperlink"/>
                <w:noProof/>
              </w:rPr>
              <w:t xml:space="preserve"> New Generating Technologies</w:t>
            </w:r>
            <w:r w:rsidR="000F5104">
              <w:rPr>
                <w:noProof/>
                <w:webHidden/>
              </w:rPr>
              <w:tab/>
            </w:r>
            <w:r w:rsidR="000F5104">
              <w:rPr>
                <w:noProof/>
                <w:webHidden/>
              </w:rPr>
              <w:fldChar w:fldCharType="begin"/>
            </w:r>
            <w:r w:rsidR="000F5104">
              <w:rPr>
                <w:noProof/>
                <w:webHidden/>
              </w:rPr>
              <w:instrText xml:space="preserve"> PAGEREF _Toc536209125 \h </w:instrText>
            </w:r>
            <w:r w:rsidR="000F5104">
              <w:rPr>
                <w:noProof/>
                <w:webHidden/>
              </w:rPr>
            </w:r>
            <w:r w:rsidR="000F5104">
              <w:rPr>
                <w:noProof/>
                <w:webHidden/>
              </w:rPr>
              <w:fldChar w:fldCharType="separate"/>
            </w:r>
            <w:r w:rsidR="000F5104">
              <w:rPr>
                <w:noProof/>
                <w:webHidden/>
              </w:rPr>
              <w:t>4-19</w:t>
            </w:r>
            <w:r w:rsidR="000F5104">
              <w:rPr>
                <w:noProof/>
                <w:webHidden/>
              </w:rPr>
              <w:fldChar w:fldCharType="end"/>
            </w:r>
          </w:hyperlink>
        </w:p>
        <w:p w14:paraId="1FAF20E5" w14:textId="27A516A0" w:rsidR="000F5104" w:rsidRDefault="00741DE0">
          <w:pPr>
            <w:pStyle w:val="TOC2"/>
            <w:rPr>
              <w:rFonts w:asciiTheme="minorHAnsi" w:eastAsiaTheme="minorEastAsia" w:hAnsiTheme="minorHAnsi"/>
              <w:noProof/>
              <w:color w:val="auto"/>
            </w:rPr>
          </w:pPr>
          <w:hyperlink w:anchor="_Toc536209126" w:history="1">
            <w:r w:rsidR="000F5104" w:rsidRPr="008C15FB">
              <w:rPr>
                <w:rStyle w:val="Hyperlink"/>
                <w:noProof/>
                <w14:scene3d>
                  <w14:camera w14:prst="orthographicFront"/>
                  <w14:lightRig w14:rig="threePt" w14:dir="t">
                    <w14:rot w14:lat="0" w14:lon="0" w14:rev="0"/>
                  </w14:lightRig>
                </w14:scene3d>
              </w:rPr>
              <w:t>4.4.</w:t>
            </w:r>
            <w:r w:rsidR="000F5104" w:rsidRPr="008C15FB">
              <w:rPr>
                <w:rStyle w:val="Hyperlink"/>
                <w:noProof/>
              </w:rPr>
              <w:t xml:space="preserve"> Demand-Side Assessments</w:t>
            </w:r>
            <w:r w:rsidR="000F5104">
              <w:rPr>
                <w:noProof/>
                <w:webHidden/>
              </w:rPr>
              <w:tab/>
            </w:r>
            <w:r w:rsidR="000F5104">
              <w:rPr>
                <w:noProof/>
                <w:webHidden/>
              </w:rPr>
              <w:fldChar w:fldCharType="begin"/>
            </w:r>
            <w:r w:rsidR="000F5104">
              <w:rPr>
                <w:noProof/>
                <w:webHidden/>
              </w:rPr>
              <w:instrText xml:space="preserve"> PAGEREF _Toc536209126 \h </w:instrText>
            </w:r>
            <w:r w:rsidR="000F5104">
              <w:rPr>
                <w:noProof/>
                <w:webHidden/>
              </w:rPr>
            </w:r>
            <w:r w:rsidR="000F5104">
              <w:rPr>
                <w:noProof/>
                <w:webHidden/>
              </w:rPr>
              <w:fldChar w:fldCharType="separate"/>
            </w:r>
            <w:r w:rsidR="000F5104">
              <w:rPr>
                <w:noProof/>
                <w:webHidden/>
              </w:rPr>
              <w:t>4-21</w:t>
            </w:r>
            <w:r w:rsidR="000F5104">
              <w:rPr>
                <w:noProof/>
                <w:webHidden/>
              </w:rPr>
              <w:fldChar w:fldCharType="end"/>
            </w:r>
          </w:hyperlink>
        </w:p>
        <w:p w14:paraId="1C8DA3C6" w14:textId="1E8A4AF6" w:rsidR="000F5104" w:rsidRDefault="00741DE0">
          <w:pPr>
            <w:pStyle w:val="TOC2"/>
            <w:rPr>
              <w:rFonts w:asciiTheme="minorHAnsi" w:eastAsiaTheme="minorEastAsia" w:hAnsiTheme="minorHAnsi"/>
              <w:noProof/>
              <w:color w:val="auto"/>
            </w:rPr>
          </w:pPr>
          <w:hyperlink w:anchor="_Toc536209127" w:history="1">
            <w:r w:rsidR="000F5104" w:rsidRPr="008C15FB">
              <w:rPr>
                <w:rStyle w:val="Hyperlink"/>
                <w:noProof/>
                <w14:scene3d>
                  <w14:camera w14:prst="orthographicFront"/>
                  <w14:lightRig w14:rig="threePt" w14:dir="t">
                    <w14:rot w14:lat="0" w14:lon="0" w14:rev="0"/>
                  </w14:lightRig>
                </w14:scene3d>
              </w:rPr>
              <w:t>4.5.</w:t>
            </w:r>
            <w:r w:rsidR="000F5104" w:rsidRPr="008C15FB">
              <w:rPr>
                <w:rStyle w:val="Hyperlink"/>
                <w:noProof/>
              </w:rPr>
              <w:t xml:space="preserve"> Supply-Side Assessments</w:t>
            </w:r>
            <w:r w:rsidR="000F5104">
              <w:rPr>
                <w:noProof/>
                <w:webHidden/>
              </w:rPr>
              <w:tab/>
            </w:r>
            <w:r w:rsidR="000F5104">
              <w:rPr>
                <w:noProof/>
                <w:webHidden/>
              </w:rPr>
              <w:fldChar w:fldCharType="begin"/>
            </w:r>
            <w:r w:rsidR="000F5104">
              <w:rPr>
                <w:noProof/>
                <w:webHidden/>
              </w:rPr>
              <w:instrText xml:space="preserve"> PAGEREF _Toc536209127 \h </w:instrText>
            </w:r>
            <w:r w:rsidR="000F5104">
              <w:rPr>
                <w:noProof/>
                <w:webHidden/>
              </w:rPr>
            </w:r>
            <w:r w:rsidR="000F5104">
              <w:rPr>
                <w:noProof/>
                <w:webHidden/>
              </w:rPr>
              <w:fldChar w:fldCharType="separate"/>
            </w:r>
            <w:r w:rsidR="000F5104">
              <w:rPr>
                <w:noProof/>
                <w:webHidden/>
              </w:rPr>
              <w:t>4-22</w:t>
            </w:r>
            <w:r w:rsidR="000F5104">
              <w:rPr>
                <w:noProof/>
                <w:webHidden/>
              </w:rPr>
              <w:fldChar w:fldCharType="end"/>
            </w:r>
          </w:hyperlink>
        </w:p>
        <w:p w14:paraId="00D09E5A" w14:textId="70ED5BBD" w:rsidR="000F5104" w:rsidRDefault="00741DE0">
          <w:pPr>
            <w:pStyle w:val="TOC2"/>
            <w:rPr>
              <w:rFonts w:asciiTheme="minorHAnsi" w:eastAsiaTheme="minorEastAsia" w:hAnsiTheme="minorHAnsi"/>
              <w:noProof/>
              <w:color w:val="auto"/>
            </w:rPr>
          </w:pPr>
          <w:hyperlink w:anchor="_Toc536209128" w:history="1">
            <w:r w:rsidR="000F5104" w:rsidRPr="008C15FB">
              <w:rPr>
                <w:rStyle w:val="Hyperlink"/>
                <w:rFonts w:eastAsia="Times New Roman" w:cs="Arial"/>
                <w:noProof/>
                <w14:scene3d>
                  <w14:camera w14:prst="orthographicFront"/>
                  <w14:lightRig w14:rig="threePt" w14:dir="t">
                    <w14:rot w14:lat="0" w14:lon="0" w14:rev="0"/>
                  </w14:lightRig>
                </w14:scene3d>
              </w:rPr>
              <w:t>4.6.</w:t>
            </w:r>
            <w:r w:rsidR="000F5104" w:rsidRPr="008C15FB">
              <w:rPr>
                <w:rStyle w:val="Hyperlink"/>
                <w:noProof/>
              </w:rPr>
              <w:t xml:space="preserve"> Expansion Planning and the Mix Process</w:t>
            </w:r>
            <w:r w:rsidR="000F5104">
              <w:rPr>
                <w:noProof/>
                <w:webHidden/>
              </w:rPr>
              <w:tab/>
            </w:r>
            <w:r w:rsidR="000F5104">
              <w:rPr>
                <w:noProof/>
                <w:webHidden/>
              </w:rPr>
              <w:fldChar w:fldCharType="begin"/>
            </w:r>
            <w:r w:rsidR="000F5104">
              <w:rPr>
                <w:noProof/>
                <w:webHidden/>
              </w:rPr>
              <w:instrText xml:space="preserve"> PAGEREF _Toc536209128 \h </w:instrText>
            </w:r>
            <w:r w:rsidR="000F5104">
              <w:rPr>
                <w:noProof/>
                <w:webHidden/>
              </w:rPr>
            </w:r>
            <w:r w:rsidR="000F5104">
              <w:rPr>
                <w:noProof/>
                <w:webHidden/>
              </w:rPr>
              <w:fldChar w:fldCharType="separate"/>
            </w:r>
            <w:r w:rsidR="000F5104">
              <w:rPr>
                <w:noProof/>
                <w:webHidden/>
              </w:rPr>
              <w:t>4-22</w:t>
            </w:r>
            <w:r w:rsidR="000F5104">
              <w:rPr>
                <w:noProof/>
                <w:webHidden/>
              </w:rPr>
              <w:fldChar w:fldCharType="end"/>
            </w:r>
          </w:hyperlink>
        </w:p>
        <w:p w14:paraId="5E5797BE" w14:textId="1DBCE740" w:rsidR="000F5104" w:rsidRDefault="00741DE0">
          <w:pPr>
            <w:pStyle w:val="TOC2"/>
            <w:rPr>
              <w:rFonts w:asciiTheme="minorHAnsi" w:eastAsiaTheme="minorEastAsia" w:hAnsiTheme="minorHAnsi"/>
              <w:noProof/>
              <w:color w:val="auto"/>
            </w:rPr>
          </w:pPr>
          <w:hyperlink w:anchor="_Toc536209129" w:history="1">
            <w:r w:rsidR="000F5104" w:rsidRPr="008C15FB">
              <w:rPr>
                <w:rStyle w:val="Hyperlink"/>
                <w:noProof/>
                <w14:scene3d>
                  <w14:camera w14:prst="orthographicFront"/>
                  <w14:lightRig w14:rig="threePt" w14:dir="t">
                    <w14:rot w14:lat="0" w14:lon="0" w14:rev="0"/>
                  </w14:lightRig>
                </w14:scene3d>
              </w:rPr>
              <w:t>4.7.</w:t>
            </w:r>
            <w:r w:rsidR="000F5104" w:rsidRPr="008C15FB">
              <w:rPr>
                <w:rStyle w:val="Hyperlink"/>
                <w:noProof/>
              </w:rPr>
              <w:t xml:space="preserve"> Scenario Planning</w:t>
            </w:r>
            <w:r w:rsidR="000F5104">
              <w:rPr>
                <w:noProof/>
                <w:webHidden/>
              </w:rPr>
              <w:tab/>
            </w:r>
            <w:r w:rsidR="000F5104">
              <w:rPr>
                <w:noProof/>
                <w:webHidden/>
              </w:rPr>
              <w:fldChar w:fldCharType="begin"/>
            </w:r>
            <w:r w:rsidR="000F5104">
              <w:rPr>
                <w:noProof/>
                <w:webHidden/>
              </w:rPr>
              <w:instrText xml:space="preserve"> PAGEREF _Toc536209129 \h </w:instrText>
            </w:r>
            <w:r w:rsidR="000F5104">
              <w:rPr>
                <w:noProof/>
                <w:webHidden/>
              </w:rPr>
            </w:r>
            <w:r w:rsidR="000F5104">
              <w:rPr>
                <w:noProof/>
                <w:webHidden/>
              </w:rPr>
              <w:fldChar w:fldCharType="separate"/>
            </w:r>
            <w:r w:rsidR="000F5104">
              <w:rPr>
                <w:noProof/>
                <w:webHidden/>
              </w:rPr>
              <w:t>4-23</w:t>
            </w:r>
            <w:r w:rsidR="000F5104">
              <w:rPr>
                <w:noProof/>
                <w:webHidden/>
              </w:rPr>
              <w:fldChar w:fldCharType="end"/>
            </w:r>
          </w:hyperlink>
        </w:p>
        <w:p w14:paraId="616544F1" w14:textId="1B04070D" w:rsidR="000F5104" w:rsidRDefault="00741DE0">
          <w:pPr>
            <w:pStyle w:val="TOC2"/>
            <w:rPr>
              <w:rFonts w:asciiTheme="minorHAnsi" w:eastAsiaTheme="minorEastAsia" w:hAnsiTheme="minorHAnsi"/>
              <w:noProof/>
              <w:color w:val="auto"/>
            </w:rPr>
          </w:pPr>
          <w:hyperlink w:anchor="_Toc536209130" w:history="1">
            <w:r w:rsidR="000F5104" w:rsidRPr="008C15FB">
              <w:rPr>
                <w:rStyle w:val="Hyperlink"/>
                <w:noProof/>
                <w14:scene3d>
                  <w14:camera w14:prst="orthographicFront"/>
                  <w14:lightRig w14:rig="threePt" w14:dir="t">
                    <w14:rot w14:lat="0" w14:lon="0" w14:rev="0"/>
                  </w14:lightRig>
                </w14:scene3d>
              </w:rPr>
              <w:t>4.8.</w:t>
            </w:r>
            <w:r w:rsidR="000F5104" w:rsidRPr="008C15FB">
              <w:rPr>
                <w:rStyle w:val="Hyperlink"/>
                <w:noProof/>
              </w:rPr>
              <w:t xml:space="preserve"> Sensitivities</w:t>
            </w:r>
            <w:r w:rsidR="000F5104">
              <w:rPr>
                <w:noProof/>
                <w:webHidden/>
              </w:rPr>
              <w:tab/>
            </w:r>
            <w:r w:rsidR="000F5104">
              <w:rPr>
                <w:noProof/>
                <w:webHidden/>
              </w:rPr>
              <w:fldChar w:fldCharType="begin"/>
            </w:r>
            <w:r w:rsidR="000F5104">
              <w:rPr>
                <w:noProof/>
                <w:webHidden/>
              </w:rPr>
              <w:instrText xml:space="preserve"> PAGEREF _Toc536209130 \h </w:instrText>
            </w:r>
            <w:r w:rsidR="000F5104">
              <w:rPr>
                <w:noProof/>
                <w:webHidden/>
              </w:rPr>
            </w:r>
            <w:r w:rsidR="000F5104">
              <w:rPr>
                <w:noProof/>
                <w:webHidden/>
              </w:rPr>
              <w:fldChar w:fldCharType="separate"/>
            </w:r>
            <w:r w:rsidR="000F5104">
              <w:rPr>
                <w:noProof/>
                <w:webHidden/>
              </w:rPr>
              <w:t>4-24</w:t>
            </w:r>
            <w:r w:rsidR="000F5104">
              <w:rPr>
                <w:noProof/>
                <w:webHidden/>
              </w:rPr>
              <w:fldChar w:fldCharType="end"/>
            </w:r>
          </w:hyperlink>
        </w:p>
        <w:p w14:paraId="0512AC98" w14:textId="46836903" w:rsidR="000F5104" w:rsidRDefault="00741DE0">
          <w:pPr>
            <w:pStyle w:val="TOC1"/>
            <w:rPr>
              <w:rFonts w:asciiTheme="minorHAnsi" w:eastAsiaTheme="minorEastAsia" w:hAnsiTheme="minorHAnsi"/>
              <w:color w:val="auto"/>
              <w:sz w:val="22"/>
            </w:rPr>
          </w:pPr>
          <w:hyperlink w:anchor="_Toc536209131" w:history="1">
            <w:r w:rsidR="000F5104" w:rsidRPr="008C15FB">
              <w:rPr>
                <w:rStyle w:val="Hyperlink"/>
              </w:rPr>
              <w:t>CHAPTER 5. RELIABILITY</w:t>
            </w:r>
            <w:r w:rsidR="000F5104">
              <w:rPr>
                <w:webHidden/>
              </w:rPr>
              <w:tab/>
            </w:r>
            <w:r w:rsidR="000F5104">
              <w:rPr>
                <w:webHidden/>
              </w:rPr>
              <w:fldChar w:fldCharType="begin"/>
            </w:r>
            <w:r w:rsidR="000F5104">
              <w:rPr>
                <w:webHidden/>
              </w:rPr>
              <w:instrText xml:space="preserve"> PAGEREF _Toc536209131 \h </w:instrText>
            </w:r>
            <w:r w:rsidR="000F5104">
              <w:rPr>
                <w:webHidden/>
              </w:rPr>
            </w:r>
            <w:r w:rsidR="000F5104">
              <w:rPr>
                <w:webHidden/>
              </w:rPr>
              <w:fldChar w:fldCharType="separate"/>
            </w:r>
            <w:r w:rsidR="000F5104">
              <w:rPr>
                <w:webHidden/>
              </w:rPr>
              <w:t>5-26</w:t>
            </w:r>
            <w:r w:rsidR="000F5104">
              <w:rPr>
                <w:webHidden/>
              </w:rPr>
              <w:fldChar w:fldCharType="end"/>
            </w:r>
          </w:hyperlink>
        </w:p>
        <w:p w14:paraId="3873EAEE" w14:textId="7EA3E722" w:rsidR="000F5104" w:rsidRDefault="00741DE0">
          <w:pPr>
            <w:pStyle w:val="TOC2"/>
            <w:rPr>
              <w:rFonts w:asciiTheme="minorHAnsi" w:eastAsiaTheme="minorEastAsia" w:hAnsiTheme="minorHAnsi"/>
              <w:noProof/>
              <w:color w:val="auto"/>
            </w:rPr>
          </w:pPr>
          <w:hyperlink w:anchor="_Toc536209132" w:history="1">
            <w:r w:rsidR="000F5104" w:rsidRPr="008C15FB">
              <w:rPr>
                <w:rStyle w:val="Hyperlink"/>
                <w:noProof/>
                <w14:scene3d>
                  <w14:camera w14:prst="orthographicFront"/>
                  <w14:lightRig w14:rig="threePt" w14:dir="t">
                    <w14:rot w14:lat="0" w14:lon="0" w14:rev="0"/>
                  </w14:lightRig>
                </w14:scene3d>
              </w:rPr>
              <w:t>5.1.</w:t>
            </w:r>
            <w:r w:rsidR="000F5104" w:rsidRPr="008C15FB">
              <w:rPr>
                <w:rStyle w:val="Hyperlink"/>
                <w:noProof/>
              </w:rPr>
              <w:t xml:space="preserve"> Resource Adequacy</w:t>
            </w:r>
            <w:r w:rsidR="000F5104">
              <w:rPr>
                <w:noProof/>
                <w:webHidden/>
              </w:rPr>
              <w:tab/>
            </w:r>
            <w:r w:rsidR="000F5104">
              <w:rPr>
                <w:noProof/>
                <w:webHidden/>
              </w:rPr>
              <w:fldChar w:fldCharType="begin"/>
            </w:r>
            <w:r w:rsidR="000F5104">
              <w:rPr>
                <w:noProof/>
                <w:webHidden/>
              </w:rPr>
              <w:instrText xml:space="preserve"> PAGEREF _Toc536209132 \h </w:instrText>
            </w:r>
            <w:r w:rsidR="000F5104">
              <w:rPr>
                <w:noProof/>
                <w:webHidden/>
              </w:rPr>
            </w:r>
            <w:r w:rsidR="000F5104">
              <w:rPr>
                <w:noProof/>
                <w:webHidden/>
              </w:rPr>
              <w:fldChar w:fldCharType="separate"/>
            </w:r>
            <w:r w:rsidR="000F5104">
              <w:rPr>
                <w:noProof/>
                <w:webHidden/>
              </w:rPr>
              <w:t>5-26</w:t>
            </w:r>
            <w:r w:rsidR="000F5104">
              <w:rPr>
                <w:noProof/>
                <w:webHidden/>
              </w:rPr>
              <w:fldChar w:fldCharType="end"/>
            </w:r>
          </w:hyperlink>
        </w:p>
        <w:p w14:paraId="520890A4" w14:textId="2CDE2E63" w:rsidR="000F5104" w:rsidRDefault="00741DE0">
          <w:pPr>
            <w:pStyle w:val="TOC2"/>
            <w:rPr>
              <w:rFonts w:asciiTheme="minorHAnsi" w:eastAsiaTheme="minorEastAsia" w:hAnsiTheme="minorHAnsi"/>
              <w:noProof/>
              <w:color w:val="auto"/>
            </w:rPr>
          </w:pPr>
          <w:hyperlink w:anchor="_Toc536209133" w:history="1">
            <w:r w:rsidR="000F5104" w:rsidRPr="008C15FB">
              <w:rPr>
                <w:rStyle w:val="Hyperlink"/>
                <w:noProof/>
                <w14:scene3d>
                  <w14:camera w14:prst="orthographicFront"/>
                  <w14:lightRig w14:rig="threePt" w14:dir="t">
                    <w14:rot w14:lat="0" w14:lon="0" w14:rev="0"/>
                  </w14:lightRig>
                </w14:scene3d>
              </w:rPr>
              <w:t>5.2.</w:t>
            </w:r>
            <w:r w:rsidR="000F5104" w:rsidRPr="008C15FB">
              <w:rPr>
                <w:rStyle w:val="Hyperlink"/>
                <w:noProof/>
              </w:rPr>
              <w:t xml:space="preserve"> Reserve Margin Study</w:t>
            </w:r>
            <w:r w:rsidR="000F5104">
              <w:rPr>
                <w:noProof/>
                <w:webHidden/>
              </w:rPr>
              <w:tab/>
            </w:r>
            <w:r w:rsidR="000F5104">
              <w:rPr>
                <w:noProof/>
                <w:webHidden/>
              </w:rPr>
              <w:fldChar w:fldCharType="begin"/>
            </w:r>
            <w:r w:rsidR="000F5104">
              <w:rPr>
                <w:noProof/>
                <w:webHidden/>
              </w:rPr>
              <w:instrText xml:space="preserve"> PAGEREF _Toc536209133 \h </w:instrText>
            </w:r>
            <w:r w:rsidR="000F5104">
              <w:rPr>
                <w:noProof/>
                <w:webHidden/>
              </w:rPr>
            </w:r>
            <w:r w:rsidR="000F5104">
              <w:rPr>
                <w:noProof/>
                <w:webHidden/>
              </w:rPr>
              <w:fldChar w:fldCharType="separate"/>
            </w:r>
            <w:r w:rsidR="000F5104">
              <w:rPr>
                <w:noProof/>
                <w:webHidden/>
              </w:rPr>
              <w:t>5-26</w:t>
            </w:r>
            <w:r w:rsidR="000F5104">
              <w:rPr>
                <w:noProof/>
                <w:webHidden/>
              </w:rPr>
              <w:fldChar w:fldCharType="end"/>
            </w:r>
          </w:hyperlink>
        </w:p>
        <w:p w14:paraId="2DA1B7CD" w14:textId="2422AE5C" w:rsidR="000F5104" w:rsidRDefault="00741DE0">
          <w:pPr>
            <w:pStyle w:val="TOC1"/>
            <w:rPr>
              <w:rFonts w:asciiTheme="minorHAnsi" w:eastAsiaTheme="minorEastAsia" w:hAnsiTheme="minorHAnsi"/>
              <w:color w:val="auto"/>
              <w:sz w:val="22"/>
            </w:rPr>
          </w:pPr>
          <w:hyperlink w:anchor="_Toc536209134" w:history="1">
            <w:r w:rsidR="000F5104" w:rsidRPr="008C15FB">
              <w:rPr>
                <w:rStyle w:val="Hyperlink"/>
              </w:rPr>
              <w:t>CHAPTER 6. LOAD &amp; ENERGY FORECASTS</w:t>
            </w:r>
            <w:r w:rsidR="000F5104">
              <w:rPr>
                <w:webHidden/>
              </w:rPr>
              <w:tab/>
            </w:r>
            <w:r w:rsidR="000F5104">
              <w:rPr>
                <w:webHidden/>
              </w:rPr>
              <w:fldChar w:fldCharType="begin"/>
            </w:r>
            <w:r w:rsidR="000F5104">
              <w:rPr>
                <w:webHidden/>
              </w:rPr>
              <w:instrText xml:space="preserve"> PAGEREF _Toc536209134 \h </w:instrText>
            </w:r>
            <w:r w:rsidR="000F5104">
              <w:rPr>
                <w:webHidden/>
              </w:rPr>
            </w:r>
            <w:r w:rsidR="000F5104">
              <w:rPr>
                <w:webHidden/>
              </w:rPr>
              <w:fldChar w:fldCharType="separate"/>
            </w:r>
            <w:r w:rsidR="000F5104">
              <w:rPr>
                <w:webHidden/>
              </w:rPr>
              <w:t>6-30</w:t>
            </w:r>
            <w:r w:rsidR="000F5104">
              <w:rPr>
                <w:webHidden/>
              </w:rPr>
              <w:fldChar w:fldCharType="end"/>
            </w:r>
          </w:hyperlink>
        </w:p>
        <w:p w14:paraId="3014ED3E" w14:textId="57EC1753" w:rsidR="000F5104" w:rsidRDefault="00741DE0">
          <w:pPr>
            <w:pStyle w:val="TOC2"/>
            <w:rPr>
              <w:rFonts w:asciiTheme="minorHAnsi" w:eastAsiaTheme="minorEastAsia" w:hAnsiTheme="minorHAnsi"/>
              <w:noProof/>
              <w:color w:val="auto"/>
            </w:rPr>
          </w:pPr>
          <w:hyperlink w:anchor="_Toc536209135" w:history="1">
            <w:r w:rsidR="000F5104" w:rsidRPr="008C15FB">
              <w:rPr>
                <w:rStyle w:val="Hyperlink"/>
                <w:noProof/>
                <w14:scene3d>
                  <w14:camera w14:prst="orthographicFront"/>
                  <w14:lightRig w14:rig="threePt" w14:dir="t">
                    <w14:rot w14:lat="0" w14:lon="0" w14:rev="0"/>
                  </w14:lightRig>
                </w14:scene3d>
              </w:rPr>
              <w:t>6.1.</w:t>
            </w:r>
            <w:r w:rsidR="000F5104" w:rsidRPr="008C15FB">
              <w:rPr>
                <w:rStyle w:val="Hyperlink"/>
                <w:noProof/>
              </w:rPr>
              <w:t xml:space="preserve"> General Forecasting and Economics Overview</w:t>
            </w:r>
            <w:r w:rsidR="000F5104">
              <w:rPr>
                <w:noProof/>
                <w:webHidden/>
              </w:rPr>
              <w:tab/>
            </w:r>
            <w:r w:rsidR="000F5104">
              <w:rPr>
                <w:noProof/>
                <w:webHidden/>
              </w:rPr>
              <w:fldChar w:fldCharType="begin"/>
            </w:r>
            <w:r w:rsidR="000F5104">
              <w:rPr>
                <w:noProof/>
                <w:webHidden/>
              </w:rPr>
              <w:instrText xml:space="preserve"> PAGEREF _Toc536209135 \h </w:instrText>
            </w:r>
            <w:r w:rsidR="000F5104">
              <w:rPr>
                <w:noProof/>
                <w:webHidden/>
              </w:rPr>
            </w:r>
            <w:r w:rsidR="000F5104">
              <w:rPr>
                <w:noProof/>
                <w:webHidden/>
              </w:rPr>
              <w:fldChar w:fldCharType="separate"/>
            </w:r>
            <w:r w:rsidR="000F5104">
              <w:rPr>
                <w:noProof/>
                <w:webHidden/>
              </w:rPr>
              <w:t>6-30</w:t>
            </w:r>
            <w:r w:rsidR="000F5104">
              <w:rPr>
                <w:noProof/>
                <w:webHidden/>
              </w:rPr>
              <w:fldChar w:fldCharType="end"/>
            </w:r>
          </w:hyperlink>
        </w:p>
        <w:p w14:paraId="2DDE3F16" w14:textId="4E966A64" w:rsidR="000F5104" w:rsidRDefault="00741DE0">
          <w:pPr>
            <w:pStyle w:val="TOC2"/>
            <w:rPr>
              <w:rFonts w:asciiTheme="minorHAnsi" w:eastAsiaTheme="minorEastAsia" w:hAnsiTheme="minorHAnsi"/>
              <w:noProof/>
              <w:color w:val="auto"/>
            </w:rPr>
          </w:pPr>
          <w:hyperlink w:anchor="_Toc536209136" w:history="1">
            <w:r w:rsidR="000F5104" w:rsidRPr="008C15FB">
              <w:rPr>
                <w:rStyle w:val="Hyperlink"/>
                <w:noProof/>
                <w14:scene3d>
                  <w14:camera w14:prst="orthographicFront"/>
                  <w14:lightRig w14:rig="threePt" w14:dir="t">
                    <w14:rot w14:lat="0" w14:lon="0" w14:rev="0"/>
                  </w14:lightRig>
                </w14:scene3d>
              </w:rPr>
              <w:t>6.2.</w:t>
            </w:r>
            <w:r w:rsidR="000F5104" w:rsidRPr="008C15FB">
              <w:rPr>
                <w:rStyle w:val="Hyperlink"/>
                <w:noProof/>
              </w:rPr>
              <w:t xml:space="preserve"> Forecast Assumptions and Methods</w:t>
            </w:r>
            <w:r w:rsidR="000F5104">
              <w:rPr>
                <w:noProof/>
                <w:webHidden/>
              </w:rPr>
              <w:tab/>
            </w:r>
            <w:r w:rsidR="000F5104">
              <w:rPr>
                <w:noProof/>
                <w:webHidden/>
              </w:rPr>
              <w:fldChar w:fldCharType="begin"/>
            </w:r>
            <w:r w:rsidR="000F5104">
              <w:rPr>
                <w:noProof/>
                <w:webHidden/>
              </w:rPr>
              <w:instrText xml:space="preserve"> PAGEREF _Toc536209136 \h </w:instrText>
            </w:r>
            <w:r w:rsidR="000F5104">
              <w:rPr>
                <w:noProof/>
                <w:webHidden/>
              </w:rPr>
            </w:r>
            <w:r w:rsidR="000F5104">
              <w:rPr>
                <w:noProof/>
                <w:webHidden/>
              </w:rPr>
              <w:fldChar w:fldCharType="separate"/>
            </w:r>
            <w:r w:rsidR="000F5104">
              <w:rPr>
                <w:noProof/>
                <w:webHidden/>
              </w:rPr>
              <w:t>6-31</w:t>
            </w:r>
            <w:r w:rsidR="000F5104">
              <w:rPr>
                <w:noProof/>
                <w:webHidden/>
              </w:rPr>
              <w:fldChar w:fldCharType="end"/>
            </w:r>
          </w:hyperlink>
        </w:p>
        <w:p w14:paraId="4227077C" w14:textId="1F547EA8" w:rsidR="000F5104" w:rsidRDefault="00741DE0">
          <w:pPr>
            <w:pStyle w:val="TOC1"/>
            <w:rPr>
              <w:rFonts w:asciiTheme="minorHAnsi" w:eastAsiaTheme="minorEastAsia" w:hAnsiTheme="minorHAnsi"/>
              <w:color w:val="auto"/>
              <w:sz w:val="22"/>
            </w:rPr>
          </w:pPr>
          <w:hyperlink w:anchor="_Toc536209137" w:history="1">
            <w:r w:rsidR="000F5104" w:rsidRPr="008C15FB">
              <w:rPr>
                <w:rStyle w:val="Hyperlink"/>
              </w:rPr>
              <w:t>CHAPTER 7. DEMAND-SIDE STRATEGY</w:t>
            </w:r>
            <w:r w:rsidR="000F5104">
              <w:rPr>
                <w:webHidden/>
              </w:rPr>
              <w:tab/>
            </w:r>
            <w:r w:rsidR="000F5104">
              <w:rPr>
                <w:webHidden/>
              </w:rPr>
              <w:fldChar w:fldCharType="begin"/>
            </w:r>
            <w:r w:rsidR="000F5104">
              <w:rPr>
                <w:webHidden/>
              </w:rPr>
              <w:instrText xml:space="preserve"> PAGEREF _Toc536209137 \h </w:instrText>
            </w:r>
            <w:r w:rsidR="000F5104">
              <w:rPr>
                <w:webHidden/>
              </w:rPr>
            </w:r>
            <w:r w:rsidR="000F5104">
              <w:rPr>
                <w:webHidden/>
              </w:rPr>
              <w:fldChar w:fldCharType="separate"/>
            </w:r>
            <w:r w:rsidR="000F5104">
              <w:rPr>
                <w:webHidden/>
              </w:rPr>
              <w:t>7-33</w:t>
            </w:r>
            <w:r w:rsidR="000F5104">
              <w:rPr>
                <w:webHidden/>
              </w:rPr>
              <w:fldChar w:fldCharType="end"/>
            </w:r>
          </w:hyperlink>
        </w:p>
        <w:p w14:paraId="6E56E760" w14:textId="73BC4FC2" w:rsidR="000F5104" w:rsidRDefault="00741DE0">
          <w:pPr>
            <w:pStyle w:val="TOC2"/>
            <w:rPr>
              <w:rFonts w:asciiTheme="minorHAnsi" w:eastAsiaTheme="minorEastAsia" w:hAnsiTheme="minorHAnsi"/>
              <w:noProof/>
              <w:color w:val="auto"/>
            </w:rPr>
          </w:pPr>
          <w:hyperlink w:anchor="_Toc536209138" w:history="1">
            <w:r w:rsidR="000F5104" w:rsidRPr="008C15FB">
              <w:rPr>
                <w:rStyle w:val="Hyperlink"/>
                <w:rFonts w:eastAsia="Times New Roman"/>
                <w:noProof/>
                <w14:scene3d>
                  <w14:camera w14:prst="orthographicFront"/>
                  <w14:lightRig w14:rig="threePt" w14:dir="t">
                    <w14:rot w14:lat="0" w14:lon="0" w14:rev="0"/>
                  </w14:lightRig>
                </w14:scene3d>
              </w:rPr>
              <w:t>7.1.</w:t>
            </w:r>
            <w:r w:rsidR="000F5104" w:rsidRPr="008C15FB">
              <w:rPr>
                <w:rStyle w:val="Hyperlink"/>
                <w:rFonts w:eastAsia="Times New Roman"/>
                <w:noProof/>
              </w:rPr>
              <w:t xml:space="preserve"> Review of Significant Events Since the 2016 IRP</w:t>
            </w:r>
            <w:r w:rsidR="000F5104">
              <w:rPr>
                <w:noProof/>
                <w:webHidden/>
              </w:rPr>
              <w:tab/>
            </w:r>
            <w:r w:rsidR="000F5104">
              <w:rPr>
                <w:noProof/>
                <w:webHidden/>
              </w:rPr>
              <w:fldChar w:fldCharType="begin"/>
            </w:r>
            <w:r w:rsidR="000F5104">
              <w:rPr>
                <w:noProof/>
                <w:webHidden/>
              </w:rPr>
              <w:instrText xml:space="preserve"> PAGEREF _Toc536209138 \h </w:instrText>
            </w:r>
            <w:r w:rsidR="000F5104">
              <w:rPr>
                <w:noProof/>
                <w:webHidden/>
              </w:rPr>
            </w:r>
            <w:r w:rsidR="000F5104">
              <w:rPr>
                <w:noProof/>
                <w:webHidden/>
              </w:rPr>
              <w:fldChar w:fldCharType="separate"/>
            </w:r>
            <w:r w:rsidR="000F5104">
              <w:rPr>
                <w:noProof/>
                <w:webHidden/>
              </w:rPr>
              <w:t>7-33</w:t>
            </w:r>
            <w:r w:rsidR="000F5104">
              <w:rPr>
                <w:noProof/>
                <w:webHidden/>
              </w:rPr>
              <w:fldChar w:fldCharType="end"/>
            </w:r>
          </w:hyperlink>
        </w:p>
        <w:p w14:paraId="16F74B15" w14:textId="0F7FDBE5" w:rsidR="000F5104" w:rsidRDefault="00741DE0">
          <w:pPr>
            <w:pStyle w:val="TOC2"/>
            <w:rPr>
              <w:rFonts w:asciiTheme="minorHAnsi" w:eastAsiaTheme="minorEastAsia" w:hAnsiTheme="minorHAnsi"/>
              <w:noProof/>
              <w:color w:val="auto"/>
            </w:rPr>
          </w:pPr>
          <w:hyperlink w:anchor="_Toc536209139" w:history="1">
            <w:r w:rsidR="000F5104" w:rsidRPr="008C15FB">
              <w:rPr>
                <w:rStyle w:val="Hyperlink"/>
                <w:rFonts w:eastAsia="Times New Roman"/>
                <w:noProof/>
                <w14:scene3d>
                  <w14:camera w14:prst="orthographicFront"/>
                  <w14:lightRig w14:rig="threePt" w14:dir="t">
                    <w14:rot w14:lat="0" w14:lon="0" w14:rev="0"/>
                  </w14:lightRig>
                </w14:scene3d>
              </w:rPr>
              <w:t>7.2.</w:t>
            </w:r>
            <w:r w:rsidR="000F5104" w:rsidRPr="008C15FB">
              <w:rPr>
                <w:rStyle w:val="Hyperlink"/>
                <w:rFonts w:eastAsia="Times New Roman"/>
                <w:noProof/>
              </w:rPr>
              <w:t xml:space="preserve"> Discussion of Current and Proposed DSM Programs</w:t>
            </w:r>
            <w:r w:rsidR="000F5104">
              <w:rPr>
                <w:noProof/>
                <w:webHidden/>
              </w:rPr>
              <w:tab/>
            </w:r>
            <w:r w:rsidR="000F5104">
              <w:rPr>
                <w:noProof/>
                <w:webHidden/>
              </w:rPr>
              <w:fldChar w:fldCharType="begin"/>
            </w:r>
            <w:r w:rsidR="000F5104">
              <w:rPr>
                <w:noProof/>
                <w:webHidden/>
              </w:rPr>
              <w:instrText xml:space="preserve"> PAGEREF _Toc536209139 \h </w:instrText>
            </w:r>
            <w:r w:rsidR="000F5104">
              <w:rPr>
                <w:noProof/>
                <w:webHidden/>
              </w:rPr>
            </w:r>
            <w:r w:rsidR="000F5104">
              <w:rPr>
                <w:noProof/>
                <w:webHidden/>
              </w:rPr>
              <w:fldChar w:fldCharType="separate"/>
            </w:r>
            <w:r w:rsidR="000F5104">
              <w:rPr>
                <w:noProof/>
                <w:webHidden/>
              </w:rPr>
              <w:t>7-35</w:t>
            </w:r>
            <w:r w:rsidR="000F5104">
              <w:rPr>
                <w:noProof/>
                <w:webHidden/>
              </w:rPr>
              <w:fldChar w:fldCharType="end"/>
            </w:r>
          </w:hyperlink>
        </w:p>
        <w:p w14:paraId="28082C30" w14:textId="4FE9BA42" w:rsidR="000F5104" w:rsidRDefault="00741DE0">
          <w:pPr>
            <w:pStyle w:val="TOC2"/>
            <w:rPr>
              <w:rFonts w:asciiTheme="minorHAnsi" w:eastAsiaTheme="minorEastAsia" w:hAnsiTheme="minorHAnsi"/>
              <w:noProof/>
              <w:color w:val="auto"/>
            </w:rPr>
          </w:pPr>
          <w:hyperlink w:anchor="_Toc536209140" w:history="1">
            <w:r w:rsidR="000F5104" w:rsidRPr="008C15FB">
              <w:rPr>
                <w:rStyle w:val="Hyperlink"/>
                <w:rFonts w:eastAsia="Times New Roman"/>
                <w:noProof/>
                <w14:scene3d>
                  <w14:camera w14:prst="orthographicFront"/>
                  <w14:lightRig w14:rig="threePt" w14:dir="t">
                    <w14:rot w14:lat="0" w14:lon="0" w14:rev="0"/>
                  </w14:lightRig>
                </w14:scene3d>
              </w:rPr>
              <w:t>7.3.</w:t>
            </w:r>
            <w:r w:rsidR="000F5104" w:rsidRPr="008C15FB">
              <w:rPr>
                <w:rStyle w:val="Hyperlink"/>
                <w:rFonts w:eastAsia="Times New Roman"/>
                <w:noProof/>
              </w:rPr>
              <w:t xml:space="preserve"> DSM Resource Assessment and Initial Cost-Effectiveness Screening</w:t>
            </w:r>
            <w:r w:rsidR="000F5104">
              <w:rPr>
                <w:noProof/>
                <w:webHidden/>
              </w:rPr>
              <w:tab/>
            </w:r>
            <w:r w:rsidR="000F5104">
              <w:rPr>
                <w:noProof/>
                <w:webHidden/>
              </w:rPr>
              <w:fldChar w:fldCharType="begin"/>
            </w:r>
            <w:r w:rsidR="000F5104">
              <w:rPr>
                <w:noProof/>
                <w:webHidden/>
              </w:rPr>
              <w:instrText xml:space="preserve"> PAGEREF _Toc536209140 \h </w:instrText>
            </w:r>
            <w:r w:rsidR="000F5104">
              <w:rPr>
                <w:noProof/>
                <w:webHidden/>
              </w:rPr>
            </w:r>
            <w:r w:rsidR="000F5104">
              <w:rPr>
                <w:noProof/>
                <w:webHidden/>
              </w:rPr>
              <w:fldChar w:fldCharType="separate"/>
            </w:r>
            <w:r w:rsidR="000F5104">
              <w:rPr>
                <w:noProof/>
                <w:webHidden/>
              </w:rPr>
              <w:t>7-40</w:t>
            </w:r>
            <w:r w:rsidR="000F5104">
              <w:rPr>
                <w:noProof/>
                <w:webHidden/>
              </w:rPr>
              <w:fldChar w:fldCharType="end"/>
            </w:r>
          </w:hyperlink>
        </w:p>
        <w:p w14:paraId="5C93F2D2" w14:textId="47241A69" w:rsidR="000F5104" w:rsidRDefault="00741DE0">
          <w:pPr>
            <w:pStyle w:val="TOC2"/>
            <w:rPr>
              <w:rFonts w:asciiTheme="minorHAnsi" w:eastAsiaTheme="minorEastAsia" w:hAnsiTheme="minorHAnsi"/>
              <w:noProof/>
              <w:color w:val="auto"/>
            </w:rPr>
          </w:pPr>
          <w:hyperlink w:anchor="_Toc536209141" w:history="1">
            <w:r w:rsidR="000F5104" w:rsidRPr="008C15FB">
              <w:rPr>
                <w:rStyle w:val="Hyperlink"/>
                <w:rFonts w:eastAsia="Times New Roman"/>
                <w:noProof/>
                <w14:scene3d>
                  <w14:camera w14:prst="orthographicFront"/>
                  <w14:lightRig w14:rig="threePt" w14:dir="t">
                    <w14:rot w14:lat="0" w14:lon="0" w14:rev="0"/>
                  </w14:lightRig>
                </w14:scene3d>
              </w:rPr>
              <w:t>7.4.</w:t>
            </w:r>
            <w:r w:rsidR="000F5104" w:rsidRPr="008C15FB">
              <w:rPr>
                <w:rStyle w:val="Hyperlink"/>
                <w:rFonts w:eastAsia="Times New Roman"/>
                <w:noProof/>
              </w:rPr>
              <w:t xml:space="preserve"> Demand-Side Program Development</w:t>
            </w:r>
            <w:r w:rsidR="000F5104">
              <w:rPr>
                <w:noProof/>
                <w:webHidden/>
              </w:rPr>
              <w:tab/>
            </w:r>
            <w:r w:rsidR="000F5104">
              <w:rPr>
                <w:noProof/>
                <w:webHidden/>
              </w:rPr>
              <w:fldChar w:fldCharType="begin"/>
            </w:r>
            <w:r w:rsidR="000F5104">
              <w:rPr>
                <w:noProof/>
                <w:webHidden/>
              </w:rPr>
              <w:instrText xml:space="preserve"> PAGEREF _Toc536209141 \h </w:instrText>
            </w:r>
            <w:r w:rsidR="000F5104">
              <w:rPr>
                <w:noProof/>
                <w:webHidden/>
              </w:rPr>
            </w:r>
            <w:r w:rsidR="000F5104">
              <w:rPr>
                <w:noProof/>
                <w:webHidden/>
              </w:rPr>
              <w:fldChar w:fldCharType="separate"/>
            </w:r>
            <w:r w:rsidR="000F5104">
              <w:rPr>
                <w:noProof/>
                <w:webHidden/>
              </w:rPr>
              <w:t>7-44</w:t>
            </w:r>
            <w:r w:rsidR="000F5104">
              <w:rPr>
                <w:noProof/>
                <w:webHidden/>
              </w:rPr>
              <w:fldChar w:fldCharType="end"/>
            </w:r>
          </w:hyperlink>
        </w:p>
        <w:p w14:paraId="32D743C6" w14:textId="1E54BD4B" w:rsidR="000F5104" w:rsidRDefault="00741DE0">
          <w:pPr>
            <w:pStyle w:val="TOC2"/>
            <w:rPr>
              <w:rFonts w:asciiTheme="minorHAnsi" w:eastAsiaTheme="minorEastAsia" w:hAnsiTheme="minorHAnsi"/>
              <w:noProof/>
              <w:color w:val="auto"/>
            </w:rPr>
          </w:pPr>
          <w:hyperlink w:anchor="_Toc536209142" w:history="1">
            <w:r w:rsidR="000F5104" w:rsidRPr="008C15FB">
              <w:rPr>
                <w:rStyle w:val="Hyperlink"/>
                <w:noProof/>
                <w14:scene3d>
                  <w14:camera w14:prst="orthographicFront"/>
                  <w14:lightRig w14:rig="threePt" w14:dir="t">
                    <w14:rot w14:lat="0" w14:lon="0" w14:rev="0"/>
                  </w14:lightRig>
                </w14:scene3d>
              </w:rPr>
              <w:t>7.5.</w:t>
            </w:r>
            <w:r w:rsidR="000F5104" w:rsidRPr="008C15FB">
              <w:rPr>
                <w:rStyle w:val="Hyperlink"/>
                <w:rFonts w:eastAsia="Times New Roman"/>
                <w:noProof/>
              </w:rPr>
              <w:t xml:space="preserve"> Regulatory Treatment of DSM Program Costs and the Additional Sum</w:t>
            </w:r>
            <w:r w:rsidR="000F5104">
              <w:rPr>
                <w:noProof/>
                <w:webHidden/>
              </w:rPr>
              <w:tab/>
            </w:r>
            <w:r w:rsidR="000F5104">
              <w:rPr>
                <w:noProof/>
                <w:webHidden/>
              </w:rPr>
              <w:fldChar w:fldCharType="begin"/>
            </w:r>
            <w:r w:rsidR="000F5104">
              <w:rPr>
                <w:noProof/>
                <w:webHidden/>
              </w:rPr>
              <w:instrText xml:space="preserve"> PAGEREF _Toc536209142 \h </w:instrText>
            </w:r>
            <w:r w:rsidR="000F5104">
              <w:rPr>
                <w:noProof/>
                <w:webHidden/>
              </w:rPr>
            </w:r>
            <w:r w:rsidR="000F5104">
              <w:rPr>
                <w:noProof/>
                <w:webHidden/>
              </w:rPr>
              <w:fldChar w:fldCharType="separate"/>
            </w:r>
            <w:r w:rsidR="000F5104">
              <w:rPr>
                <w:noProof/>
                <w:webHidden/>
              </w:rPr>
              <w:t>7-45</w:t>
            </w:r>
            <w:r w:rsidR="000F5104">
              <w:rPr>
                <w:noProof/>
                <w:webHidden/>
              </w:rPr>
              <w:fldChar w:fldCharType="end"/>
            </w:r>
          </w:hyperlink>
        </w:p>
        <w:p w14:paraId="074FC279" w14:textId="69EDEE32" w:rsidR="000F5104" w:rsidRDefault="00741DE0">
          <w:pPr>
            <w:pStyle w:val="TOC2"/>
            <w:rPr>
              <w:rFonts w:asciiTheme="minorHAnsi" w:eastAsiaTheme="minorEastAsia" w:hAnsiTheme="minorHAnsi"/>
              <w:noProof/>
              <w:color w:val="auto"/>
            </w:rPr>
          </w:pPr>
          <w:hyperlink w:anchor="_Toc536209143" w:history="1">
            <w:r w:rsidR="000F5104" w:rsidRPr="008C15FB">
              <w:rPr>
                <w:rStyle w:val="Hyperlink"/>
                <w:rFonts w:eastAsia="Times New Roman"/>
                <w:noProof/>
                <w14:scene3d>
                  <w14:camera w14:prst="orthographicFront"/>
                  <w14:lightRig w14:rig="threePt" w14:dir="t">
                    <w14:rot w14:lat="0" w14:lon="0" w14:rev="0"/>
                  </w14:lightRig>
                </w14:scene3d>
              </w:rPr>
              <w:t>7.6.</w:t>
            </w:r>
            <w:r w:rsidR="000F5104" w:rsidRPr="008C15FB">
              <w:rPr>
                <w:rStyle w:val="Hyperlink"/>
                <w:rFonts w:eastAsia="Times New Roman"/>
                <w:noProof/>
              </w:rPr>
              <w:t xml:space="preserve"> Summary of DSM Cases</w:t>
            </w:r>
            <w:r w:rsidR="000F5104">
              <w:rPr>
                <w:noProof/>
                <w:webHidden/>
              </w:rPr>
              <w:tab/>
            </w:r>
            <w:r w:rsidR="000F5104">
              <w:rPr>
                <w:noProof/>
                <w:webHidden/>
              </w:rPr>
              <w:fldChar w:fldCharType="begin"/>
            </w:r>
            <w:r w:rsidR="000F5104">
              <w:rPr>
                <w:noProof/>
                <w:webHidden/>
              </w:rPr>
              <w:instrText xml:space="preserve"> PAGEREF _Toc536209143 \h </w:instrText>
            </w:r>
            <w:r w:rsidR="000F5104">
              <w:rPr>
                <w:noProof/>
                <w:webHidden/>
              </w:rPr>
            </w:r>
            <w:r w:rsidR="000F5104">
              <w:rPr>
                <w:noProof/>
                <w:webHidden/>
              </w:rPr>
              <w:fldChar w:fldCharType="separate"/>
            </w:r>
            <w:r w:rsidR="000F5104">
              <w:rPr>
                <w:noProof/>
                <w:webHidden/>
              </w:rPr>
              <w:t>7-46</w:t>
            </w:r>
            <w:r w:rsidR="000F5104">
              <w:rPr>
                <w:noProof/>
                <w:webHidden/>
              </w:rPr>
              <w:fldChar w:fldCharType="end"/>
            </w:r>
          </w:hyperlink>
        </w:p>
        <w:p w14:paraId="19E450A2" w14:textId="58F3129D" w:rsidR="000F5104" w:rsidRDefault="00741DE0">
          <w:pPr>
            <w:pStyle w:val="TOC2"/>
            <w:rPr>
              <w:rFonts w:asciiTheme="minorHAnsi" w:eastAsiaTheme="minorEastAsia" w:hAnsiTheme="minorHAnsi"/>
              <w:noProof/>
              <w:color w:val="auto"/>
            </w:rPr>
          </w:pPr>
          <w:hyperlink w:anchor="_Toc536209144" w:history="1">
            <w:r w:rsidR="000F5104" w:rsidRPr="008C15FB">
              <w:rPr>
                <w:rStyle w:val="Hyperlink"/>
                <w:rFonts w:eastAsia="Times New Roman"/>
                <w:noProof/>
                <w14:scene3d>
                  <w14:camera w14:prst="orthographicFront"/>
                  <w14:lightRig w14:rig="threePt" w14:dir="t">
                    <w14:rot w14:lat="0" w14:lon="0" w14:rev="0"/>
                  </w14:lightRig>
                </w14:scene3d>
              </w:rPr>
              <w:t>7.7.</w:t>
            </w:r>
            <w:r w:rsidR="000F5104" w:rsidRPr="008C15FB">
              <w:rPr>
                <w:rStyle w:val="Hyperlink"/>
                <w:rFonts w:eastAsia="Times New Roman"/>
                <w:noProof/>
              </w:rPr>
              <w:t xml:space="preserve"> Recommended DSM Action Plan</w:t>
            </w:r>
            <w:r w:rsidR="000F5104">
              <w:rPr>
                <w:noProof/>
                <w:webHidden/>
              </w:rPr>
              <w:tab/>
            </w:r>
            <w:r w:rsidR="000F5104">
              <w:rPr>
                <w:noProof/>
                <w:webHidden/>
              </w:rPr>
              <w:fldChar w:fldCharType="begin"/>
            </w:r>
            <w:r w:rsidR="000F5104">
              <w:rPr>
                <w:noProof/>
                <w:webHidden/>
              </w:rPr>
              <w:instrText xml:space="preserve"> PAGEREF _Toc536209144 \h </w:instrText>
            </w:r>
            <w:r w:rsidR="000F5104">
              <w:rPr>
                <w:noProof/>
                <w:webHidden/>
              </w:rPr>
            </w:r>
            <w:r w:rsidR="000F5104">
              <w:rPr>
                <w:noProof/>
                <w:webHidden/>
              </w:rPr>
              <w:fldChar w:fldCharType="separate"/>
            </w:r>
            <w:r w:rsidR="000F5104">
              <w:rPr>
                <w:noProof/>
                <w:webHidden/>
              </w:rPr>
              <w:t>7-48</w:t>
            </w:r>
            <w:r w:rsidR="000F5104">
              <w:rPr>
                <w:noProof/>
                <w:webHidden/>
              </w:rPr>
              <w:fldChar w:fldCharType="end"/>
            </w:r>
          </w:hyperlink>
        </w:p>
        <w:p w14:paraId="66F624ED" w14:textId="4020A490" w:rsidR="000F5104" w:rsidRDefault="00741DE0">
          <w:pPr>
            <w:pStyle w:val="TOC1"/>
            <w:rPr>
              <w:rFonts w:asciiTheme="minorHAnsi" w:eastAsiaTheme="minorEastAsia" w:hAnsiTheme="minorHAnsi"/>
              <w:color w:val="auto"/>
              <w:sz w:val="22"/>
            </w:rPr>
          </w:pPr>
          <w:hyperlink w:anchor="_Toc536209145" w:history="1">
            <w:r w:rsidR="000F5104" w:rsidRPr="008C15FB">
              <w:rPr>
                <w:rStyle w:val="Hyperlink"/>
              </w:rPr>
              <w:t>CHAPTER 8. RENEWABLE RESOURCES</w:t>
            </w:r>
            <w:r w:rsidR="000F5104">
              <w:rPr>
                <w:webHidden/>
              </w:rPr>
              <w:tab/>
            </w:r>
            <w:r w:rsidR="000F5104">
              <w:rPr>
                <w:webHidden/>
              </w:rPr>
              <w:fldChar w:fldCharType="begin"/>
            </w:r>
            <w:r w:rsidR="000F5104">
              <w:rPr>
                <w:webHidden/>
              </w:rPr>
              <w:instrText xml:space="preserve"> PAGEREF _Toc536209145 \h </w:instrText>
            </w:r>
            <w:r w:rsidR="000F5104">
              <w:rPr>
                <w:webHidden/>
              </w:rPr>
            </w:r>
            <w:r w:rsidR="000F5104">
              <w:rPr>
                <w:webHidden/>
              </w:rPr>
              <w:fldChar w:fldCharType="separate"/>
            </w:r>
            <w:r w:rsidR="000F5104">
              <w:rPr>
                <w:webHidden/>
              </w:rPr>
              <w:t>8-49</w:t>
            </w:r>
            <w:r w:rsidR="000F5104">
              <w:rPr>
                <w:webHidden/>
              </w:rPr>
              <w:fldChar w:fldCharType="end"/>
            </w:r>
          </w:hyperlink>
        </w:p>
        <w:p w14:paraId="0BF37C48" w14:textId="6CA9B98F" w:rsidR="000F5104" w:rsidRDefault="00741DE0">
          <w:pPr>
            <w:pStyle w:val="TOC2"/>
            <w:rPr>
              <w:rFonts w:asciiTheme="minorHAnsi" w:eastAsiaTheme="minorEastAsia" w:hAnsiTheme="minorHAnsi"/>
              <w:noProof/>
              <w:color w:val="auto"/>
            </w:rPr>
          </w:pPr>
          <w:hyperlink w:anchor="_Toc536209146" w:history="1">
            <w:r w:rsidR="000F5104" w:rsidRPr="008C15FB">
              <w:rPr>
                <w:rStyle w:val="Hyperlink"/>
                <w:noProof/>
                <w14:scene3d>
                  <w14:camera w14:prst="orthographicFront"/>
                  <w14:lightRig w14:rig="threePt" w14:dir="t">
                    <w14:rot w14:lat="0" w14:lon="0" w14:rev="0"/>
                  </w14:lightRig>
                </w14:scene3d>
              </w:rPr>
              <w:t>8.1.</w:t>
            </w:r>
            <w:r w:rsidR="000F5104" w:rsidRPr="008C15FB">
              <w:rPr>
                <w:rStyle w:val="Hyperlink"/>
                <w:noProof/>
              </w:rPr>
              <w:t xml:space="preserve"> New Renewable Resources</w:t>
            </w:r>
            <w:r w:rsidR="000F5104">
              <w:rPr>
                <w:noProof/>
                <w:webHidden/>
              </w:rPr>
              <w:tab/>
            </w:r>
            <w:r w:rsidR="000F5104">
              <w:rPr>
                <w:noProof/>
                <w:webHidden/>
              </w:rPr>
              <w:fldChar w:fldCharType="begin"/>
            </w:r>
            <w:r w:rsidR="000F5104">
              <w:rPr>
                <w:noProof/>
                <w:webHidden/>
              </w:rPr>
              <w:instrText xml:space="preserve"> PAGEREF _Toc536209146 \h </w:instrText>
            </w:r>
            <w:r w:rsidR="000F5104">
              <w:rPr>
                <w:noProof/>
                <w:webHidden/>
              </w:rPr>
            </w:r>
            <w:r w:rsidR="000F5104">
              <w:rPr>
                <w:noProof/>
                <w:webHidden/>
              </w:rPr>
              <w:fldChar w:fldCharType="separate"/>
            </w:r>
            <w:r w:rsidR="000F5104">
              <w:rPr>
                <w:noProof/>
                <w:webHidden/>
              </w:rPr>
              <w:t>8-52</w:t>
            </w:r>
            <w:r w:rsidR="000F5104">
              <w:rPr>
                <w:noProof/>
                <w:webHidden/>
              </w:rPr>
              <w:fldChar w:fldCharType="end"/>
            </w:r>
          </w:hyperlink>
        </w:p>
        <w:p w14:paraId="16F38404" w14:textId="62F1E3C8" w:rsidR="000F5104" w:rsidRDefault="00741DE0">
          <w:pPr>
            <w:pStyle w:val="TOC2"/>
            <w:rPr>
              <w:rFonts w:asciiTheme="minorHAnsi" w:eastAsiaTheme="minorEastAsia" w:hAnsiTheme="minorHAnsi"/>
              <w:noProof/>
              <w:color w:val="auto"/>
            </w:rPr>
          </w:pPr>
          <w:hyperlink w:anchor="_Toc536209147" w:history="1">
            <w:r w:rsidR="000F5104" w:rsidRPr="008C15FB">
              <w:rPr>
                <w:rStyle w:val="Hyperlink"/>
                <w:noProof/>
                <w14:scene3d>
                  <w14:camera w14:prst="orthographicFront"/>
                  <w14:lightRig w14:rig="threePt" w14:dir="t">
                    <w14:rot w14:lat="0" w14:lon="0" w14:rev="0"/>
                  </w14:lightRig>
                </w14:scene3d>
              </w:rPr>
              <w:t>8.2.</w:t>
            </w:r>
            <w:r w:rsidR="000F5104" w:rsidRPr="008C15FB">
              <w:rPr>
                <w:rStyle w:val="Hyperlink"/>
                <w:noProof/>
              </w:rPr>
              <w:t xml:space="preserve"> Renewable Programs for Customer Participation</w:t>
            </w:r>
            <w:r w:rsidR="000F5104">
              <w:rPr>
                <w:noProof/>
                <w:webHidden/>
              </w:rPr>
              <w:tab/>
            </w:r>
            <w:r w:rsidR="000F5104">
              <w:rPr>
                <w:noProof/>
                <w:webHidden/>
              </w:rPr>
              <w:fldChar w:fldCharType="begin"/>
            </w:r>
            <w:r w:rsidR="000F5104">
              <w:rPr>
                <w:noProof/>
                <w:webHidden/>
              </w:rPr>
              <w:instrText xml:space="preserve"> PAGEREF _Toc536209147 \h </w:instrText>
            </w:r>
            <w:r w:rsidR="000F5104">
              <w:rPr>
                <w:noProof/>
                <w:webHidden/>
              </w:rPr>
            </w:r>
            <w:r w:rsidR="000F5104">
              <w:rPr>
                <w:noProof/>
                <w:webHidden/>
              </w:rPr>
              <w:fldChar w:fldCharType="separate"/>
            </w:r>
            <w:r w:rsidR="000F5104">
              <w:rPr>
                <w:noProof/>
                <w:webHidden/>
              </w:rPr>
              <w:t>8-53</w:t>
            </w:r>
            <w:r w:rsidR="000F5104">
              <w:rPr>
                <w:noProof/>
                <w:webHidden/>
              </w:rPr>
              <w:fldChar w:fldCharType="end"/>
            </w:r>
          </w:hyperlink>
        </w:p>
        <w:p w14:paraId="171C473A" w14:textId="73E55A95" w:rsidR="000F5104" w:rsidRDefault="00741DE0">
          <w:pPr>
            <w:pStyle w:val="TOC2"/>
            <w:rPr>
              <w:rFonts w:asciiTheme="minorHAnsi" w:eastAsiaTheme="minorEastAsia" w:hAnsiTheme="minorHAnsi"/>
              <w:noProof/>
              <w:color w:val="auto"/>
            </w:rPr>
          </w:pPr>
          <w:hyperlink w:anchor="_Toc536209148" w:history="1">
            <w:r w:rsidR="000F5104" w:rsidRPr="008C15FB">
              <w:rPr>
                <w:rStyle w:val="Hyperlink"/>
                <w:noProof/>
                <w14:scene3d>
                  <w14:camera w14:prst="orthographicFront"/>
                  <w14:lightRig w14:rig="threePt" w14:dir="t">
                    <w14:rot w14:lat="0" w14:lon="0" w14:rev="0"/>
                  </w14:lightRig>
                </w14:scene3d>
              </w:rPr>
              <w:t>8.3.</w:t>
            </w:r>
            <w:r w:rsidR="000F5104" w:rsidRPr="008C15FB">
              <w:rPr>
                <w:rStyle w:val="Hyperlink"/>
                <w:noProof/>
              </w:rPr>
              <w:t xml:space="preserve"> Renewable Cost Benefit Framework</w:t>
            </w:r>
            <w:r w:rsidR="000F5104">
              <w:rPr>
                <w:noProof/>
                <w:webHidden/>
              </w:rPr>
              <w:tab/>
            </w:r>
            <w:r w:rsidR="000F5104">
              <w:rPr>
                <w:noProof/>
                <w:webHidden/>
              </w:rPr>
              <w:fldChar w:fldCharType="begin"/>
            </w:r>
            <w:r w:rsidR="000F5104">
              <w:rPr>
                <w:noProof/>
                <w:webHidden/>
              </w:rPr>
              <w:instrText xml:space="preserve"> PAGEREF _Toc536209148 \h </w:instrText>
            </w:r>
            <w:r w:rsidR="000F5104">
              <w:rPr>
                <w:noProof/>
                <w:webHidden/>
              </w:rPr>
            </w:r>
            <w:r w:rsidR="000F5104">
              <w:rPr>
                <w:noProof/>
                <w:webHidden/>
              </w:rPr>
              <w:fldChar w:fldCharType="separate"/>
            </w:r>
            <w:r w:rsidR="000F5104">
              <w:rPr>
                <w:noProof/>
                <w:webHidden/>
              </w:rPr>
              <w:t>8-56</w:t>
            </w:r>
            <w:r w:rsidR="000F5104">
              <w:rPr>
                <w:noProof/>
                <w:webHidden/>
              </w:rPr>
              <w:fldChar w:fldCharType="end"/>
            </w:r>
          </w:hyperlink>
        </w:p>
        <w:p w14:paraId="32E53145" w14:textId="3F1D2B16" w:rsidR="000F5104" w:rsidRDefault="00741DE0">
          <w:pPr>
            <w:pStyle w:val="TOC2"/>
            <w:rPr>
              <w:rFonts w:asciiTheme="minorHAnsi" w:eastAsiaTheme="minorEastAsia" w:hAnsiTheme="minorHAnsi"/>
              <w:noProof/>
              <w:color w:val="auto"/>
            </w:rPr>
          </w:pPr>
          <w:hyperlink w:anchor="_Toc536209149" w:history="1">
            <w:r w:rsidR="000F5104" w:rsidRPr="008C15FB">
              <w:rPr>
                <w:rStyle w:val="Hyperlink"/>
                <w:noProof/>
                <w14:scene3d>
                  <w14:camera w14:prst="orthographicFront"/>
                  <w14:lightRig w14:rig="threePt" w14:dir="t">
                    <w14:rot w14:lat="0" w14:lon="0" w14:rev="0"/>
                  </w14:lightRig>
                </w14:scene3d>
              </w:rPr>
              <w:t>8.4.</w:t>
            </w:r>
            <w:r w:rsidR="000F5104" w:rsidRPr="008C15FB">
              <w:rPr>
                <w:rStyle w:val="Hyperlink"/>
                <w:noProof/>
              </w:rPr>
              <w:t xml:space="preserve"> Update on 2016 IRP Initiatives</w:t>
            </w:r>
            <w:r w:rsidR="000F5104">
              <w:rPr>
                <w:noProof/>
                <w:webHidden/>
              </w:rPr>
              <w:tab/>
            </w:r>
            <w:r w:rsidR="000F5104">
              <w:rPr>
                <w:noProof/>
                <w:webHidden/>
              </w:rPr>
              <w:fldChar w:fldCharType="begin"/>
            </w:r>
            <w:r w:rsidR="000F5104">
              <w:rPr>
                <w:noProof/>
                <w:webHidden/>
              </w:rPr>
              <w:instrText xml:space="preserve"> PAGEREF _Toc536209149 \h </w:instrText>
            </w:r>
            <w:r w:rsidR="000F5104">
              <w:rPr>
                <w:noProof/>
                <w:webHidden/>
              </w:rPr>
            </w:r>
            <w:r w:rsidR="000F5104">
              <w:rPr>
                <w:noProof/>
                <w:webHidden/>
              </w:rPr>
              <w:fldChar w:fldCharType="separate"/>
            </w:r>
            <w:r w:rsidR="000F5104">
              <w:rPr>
                <w:noProof/>
                <w:webHidden/>
              </w:rPr>
              <w:t>8-57</w:t>
            </w:r>
            <w:r w:rsidR="000F5104">
              <w:rPr>
                <w:noProof/>
                <w:webHidden/>
              </w:rPr>
              <w:fldChar w:fldCharType="end"/>
            </w:r>
          </w:hyperlink>
        </w:p>
        <w:p w14:paraId="1D9FFC8F" w14:textId="554EAF37" w:rsidR="000F5104" w:rsidRDefault="00741DE0">
          <w:pPr>
            <w:pStyle w:val="TOC2"/>
            <w:rPr>
              <w:rFonts w:asciiTheme="minorHAnsi" w:eastAsiaTheme="minorEastAsia" w:hAnsiTheme="minorHAnsi"/>
              <w:noProof/>
              <w:color w:val="auto"/>
            </w:rPr>
          </w:pPr>
          <w:hyperlink w:anchor="_Toc536209150" w:history="1">
            <w:r w:rsidR="000F5104" w:rsidRPr="008C15FB">
              <w:rPr>
                <w:rStyle w:val="Hyperlink"/>
                <w:rFonts w:eastAsia="Times New Roman"/>
                <w:noProof/>
                <w14:scene3d>
                  <w14:camera w14:prst="orthographicFront"/>
                  <w14:lightRig w14:rig="threePt" w14:dir="t">
                    <w14:rot w14:lat="0" w14:lon="0" w14:rev="0"/>
                  </w14:lightRig>
                </w14:scene3d>
              </w:rPr>
              <w:t>8.5.</w:t>
            </w:r>
            <w:r w:rsidR="000F5104" w:rsidRPr="008C15FB">
              <w:rPr>
                <w:rStyle w:val="Hyperlink"/>
                <w:rFonts w:eastAsia="Times New Roman"/>
                <w:noProof/>
              </w:rPr>
              <w:t xml:space="preserve"> Update on Demonstration Projects Under Development</w:t>
            </w:r>
            <w:r w:rsidR="000F5104">
              <w:rPr>
                <w:noProof/>
                <w:webHidden/>
              </w:rPr>
              <w:tab/>
            </w:r>
            <w:r w:rsidR="000F5104">
              <w:rPr>
                <w:noProof/>
                <w:webHidden/>
              </w:rPr>
              <w:fldChar w:fldCharType="begin"/>
            </w:r>
            <w:r w:rsidR="000F5104">
              <w:rPr>
                <w:noProof/>
                <w:webHidden/>
              </w:rPr>
              <w:instrText xml:space="preserve"> PAGEREF _Toc536209150 \h </w:instrText>
            </w:r>
            <w:r w:rsidR="000F5104">
              <w:rPr>
                <w:noProof/>
                <w:webHidden/>
              </w:rPr>
            </w:r>
            <w:r w:rsidR="000F5104">
              <w:rPr>
                <w:noProof/>
                <w:webHidden/>
              </w:rPr>
              <w:fldChar w:fldCharType="separate"/>
            </w:r>
            <w:r w:rsidR="000F5104">
              <w:rPr>
                <w:noProof/>
                <w:webHidden/>
              </w:rPr>
              <w:t>8-60</w:t>
            </w:r>
            <w:r w:rsidR="000F5104">
              <w:rPr>
                <w:noProof/>
                <w:webHidden/>
              </w:rPr>
              <w:fldChar w:fldCharType="end"/>
            </w:r>
          </w:hyperlink>
        </w:p>
        <w:p w14:paraId="1DA8C149" w14:textId="52585E8F" w:rsidR="000F5104" w:rsidRDefault="00741DE0">
          <w:pPr>
            <w:pStyle w:val="TOC1"/>
            <w:rPr>
              <w:rFonts w:asciiTheme="minorHAnsi" w:eastAsiaTheme="minorEastAsia" w:hAnsiTheme="minorHAnsi"/>
              <w:color w:val="auto"/>
              <w:sz w:val="22"/>
            </w:rPr>
          </w:pPr>
          <w:hyperlink w:anchor="_Toc536209151" w:history="1">
            <w:r w:rsidR="000F5104" w:rsidRPr="008C15FB">
              <w:rPr>
                <w:rStyle w:val="Hyperlink"/>
              </w:rPr>
              <w:t>CHAPTER 9. HYDROELECTRIC</w:t>
            </w:r>
            <w:r w:rsidR="000F5104">
              <w:rPr>
                <w:webHidden/>
              </w:rPr>
              <w:tab/>
            </w:r>
            <w:r w:rsidR="000F5104">
              <w:rPr>
                <w:webHidden/>
              </w:rPr>
              <w:fldChar w:fldCharType="begin"/>
            </w:r>
            <w:r w:rsidR="000F5104">
              <w:rPr>
                <w:webHidden/>
              </w:rPr>
              <w:instrText xml:space="preserve"> PAGEREF _Toc536209151 \h </w:instrText>
            </w:r>
            <w:r w:rsidR="000F5104">
              <w:rPr>
                <w:webHidden/>
              </w:rPr>
            </w:r>
            <w:r w:rsidR="000F5104">
              <w:rPr>
                <w:webHidden/>
              </w:rPr>
              <w:fldChar w:fldCharType="separate"/>
            </w:r>
            <w:r w:rsidR="000F5104">
              <w:rPr>
                <w:webHidden/>
              </w:rPr>
              <w:t>9-62</w:t>
            </w:r>
            <w:r w:rsidR="000F5104">
              <w:rPr>
                <w:webHidden/>
              </w:rPr>
              <w:fldChar w:fldCharType="end"/>
            </w:r>
          </w:hyperlink>
        </w:p>
        <w:p w14:paraId="6E0BBDFF" w14:textId="2D75D5E3" w:rsidR="000F5104" w:rsidRDefault="00741DE0">
          <w:pPr>
            <w:pStyle w:val="TOC2"/>
            <w:rPr>
              <w:rFonts w:asciiTheme="minorHAnsi" w:eastAsiaTheme="minorEastAsia" w:hAnsiTheme="minorHAnsi"/>
              <w:noProof/>
              <w:color w:val="auto"/>
            </w:rPr>
          </w:pPr>
          <w:hyperlink w:anchor="_Toc536209152" w:history="1">
            <w:r w:rsidR="000F5104" w:rsidRPr="008C15FB">
              <w:rPr>
                <w:rStyle w:val="Hyperlink"/>
                <w:rFonts w:eastAsia="Times New Roman"/>
                <w:noProof/>
                <w14:scene3d>
                  <w14:camera w14:prst="orthographicFront"/>
                  <w14:lightRig w14:rig="threePt" w14:dir="t">
                    <w14:rot w14:lat="0" w14:lon="0" w14:rev="0"/>
                  </w14:lightRig>
                </w14:scene3d>
              </w:rPr>
              <w:t>9.1.</w:t>
            </w:r>
            <w:r w:rsidR="000F5104" w:rsidRPr="008C15FB">
              <w:rPr>
                <w:rStyle w:val="Hyperlink"/>
                <w:rFonts w:eastAsia="Times New Roman"/>
                <w:noProof/>
              </w:rPr>
              <w:t xml:space="preserve"> Continued Investment in the Hydro Fleet</w:t>
            </w:r>
            <w:r w:rsidR="000F5104">
              <w:rPr>
                <w:noProof/>
                <w:webHidden/>
              </w:rPr>
              <w:tab/>
            </w:r>
            <w:r w:rsidR="000F5104">
              <w:rPr>
                <w:noProof/>
                <w:webHidden/>
              </w:rPr>
              <w:fldChar w:fldCharType="begin"/>
            </w:r>
            <w:r w:rsidR="000F5104">
              <w:rPr>
                <w:noProof/>
                <w:webHidden/>
              </w:rPr>
              <w:instrText xml:space="preserve"> PAGEREF _Toc536209152 \h </w:instrText>
            </w:r>
            <w:r w:rsidR="000F5104">
              <w:rPr>
                <w:noProof/>
                <w:webHidden/>
              </w:rPr>
            </w:r>
            <w:r w:rsidR="000F5104">
              <w:rPr>
                <w:noProof/>
                <w:webHidden/>
              </w:rPr>
              <w:fldChar w:fldCharType="separate"/>
            </w:r>
            <w:r w:rsidR="000F5104">
              <w:rPr>
                <w:noProof/>
                <w:webHidden/>
              </w:rPr>
              <w:t>9-62</w:t>
            </w:r>
            <w:r w:rsidR="000F5104">
              <w:rPr>
                <w:noProof/>
                <w:webHidden/>
              </w:rPr>
              <w:fldChar w:fldCharType="end"/>
            </w:r>
          </w:hyperlink>
        </w:p>
        <w:p w14:paraId="5384CD7B" w14:textId="40E9A8A9" w:rsidR="000F5104" w:rsidRDefault="00741DE0">
          <w:pPr>
            <w:pStyle w:val="TOC2"/>
            <w:rPr>
              <w:rFonts w:asciiTheme="minorHAnsi" w:eastAsiaTheme="minorEastAsia" w:hAnsiTheme="minorHAnsi"/>
              <w:noProof/>
              <w:color w:val="auto"/>
            </w:rPr>
          </w:pPr>
          <w:hyperlink w:anchor="_Toc536209153" w:history="1">
            <w:r w:rsidR="000F5104" w:rsidRPr="008C15FB">
              <w:rPr>
                <w:rStyle w:val="Hyperlink"/>
                <w:rFonts w:eastAsia="Times New Roman"/>
                <w:noProof/>
                <w14:scene3d>
                  <w14:camera w14:prst="orthographicFront"/>
                  <w14:lightRig w14:rig="threePt" w14:dir="t">
                    <w14:rot w14:lat="0" w14:lon="0" w14:rev="0"/>
                  </w14:lightRig>
                </w14:scene3d>
              </w:rPr>
              <w:t>9.2.</w:t>
            </w:r>
            <w:r w:rsidR="000F5104" w:rsidRPr="008C15FB">
              <w:rPr>
                <w:rStyle w:val="Hyperlink"/>
                <w:rFonts w:eastAsia="Times New Roman"/>
                <w:noProof/>
              </w:rPr>
              <w:t xml:space="preserve"> Certification of Plant Goat Rock Units 9-12</w:t>
            </w:r>
            <w:r w:rsidR="000F5104">
              <w:rPr>
                <w:noProof/>
                <w:webHidden/>
              </w:rPr>
              <w:tab/>
            </w:r>
            <w:r w:rsidR="000F5104">
              <w:rPr>
                <w:noProof/>
                <w:webHidden/>
              </w:rPr>
              <w:fldChar w:fldCharType="begin"/>
            </w:r>
            <w:r w:rsidR="000F5104">
              <w:rPr>
                <w:noProof/>
                <w:webHidden/>
              </w:rPr>
              <w:instrText xml:space="preserve"> PAGEREF _Toc536209153 \h </w:instrText>
            </w:r>
            <w:r w:rsidR="000F5104">
              <w:rPr>
                <w:noProof/>
                <w:webHidden/>
              </w:rPr>
            </w:r>
            <w:r w:rsidR="000F5104">
              <w:rPr>
                <w:noProof/>
                <w:webHidden/>
              </w:rPr>
              <w:fldChar w:fldCharType="separate"/>
            </w:r>
            <w:r w:rsidR="000F5104">
              <w:rPr>
                <w:noProof/>
                <w:webHidden/>
              </w:rPr>
              <w:t>9-63</w:t>
            </w:r>
            <w:r w:rsidR="000F5104">
              <w:rPr>
                <w:noProof/>
                <w:webHidden/>
              </w:rPr>
              <w:fldChar w:fldCharType="end"/>
            </w:r>
          </w:hyperlink>
        </w:p>
        <w:p w14:paraId="28CBCC9D" w14:textId="75E9061D" w:rsidR="000F5104" w:rsidRDefault="00741DE0">
          <w:pPr>
            <w:pStyle w:val="TOC2"/>
            <w:rPr>
              <w:rFonts w:asciiTheme="minorHAnsi" w:eastAsiaTheme="minorEastAsia" w:hAnsiTheme="minorHAnsi"/>
              <w:noProof/>
              <w:color w:val="auto"/>
            </w:rPr>
          </w:pPr>
          <w:hyperlink w:anchor="_Toc536209154" w:history="1">
            <w:r w:rsidR="000F5104" w:rsidRPr="008C15FB">
              <w:rPr>
                <w:rStyle w:val="Hyperlink"/>
                <w:rFonts w:eastAsia="Times New Roman"/>
                <w:noProof/>
                <w14:scene3d>
                  <w14:camera w14:prst="orthographicFront"/>
                  <w14:lightRig w14:rig="threePt" w14:dir="t">
                    <w14:rot w14:lat="0" w14:lon="0" w14:rev="0"/>
                  </w14:lightRig>
                </w14:scene3d>
              </w:rPr>
              <w:t>9.3.</w:t>
            </w:r>
            <w:r w:rsidR="000F5104" w:rsidRPr="008C15FB">
              <w:rPr>
                <w:rStyle w:val="Hyperlink"/>
                <w:rFonts w:eastAsia="Times New Roman"/>
                <w:noProof/>
              </w:rPr>
              <w:t xml:space="preserve"> Decertification of Plant Estatoah Unit 1, Plant Langdale Units 5-6, and Plant Riverview Units 1-2</w:t>
            </w:r>
            <w:r w:rsidR="000F5104">
              <w:rPr>
                <w:noProof/>
                <w:webHidden/>
              </w:rPr>
              <w:tab/>
            </w:r>
            <w:r w:rsidR="000F5104">
              <w:rPr>
                <w:noProof/>
                <w:webHidden/>
              </w:rPr>
              <w:fldChar w:fldCharType="begin"/>
            </w:r>
            <w:r w:rsidR="000F5104">
              <w:rPr>
                <w:noProof/>
                <w:webHidden/>
              </w:rPr>
              <w:instrText xml:space="preserve"> PAGEREF _Toc536209154 \h </w:instrText>
            </w:r>
            <w:r w:rsidR="000F5104">
              <w:rPr>
                <w:noProof/>
                <w:webHidden/>
              </w:rPr>
            </w:r>
            <w:r w:rsidR="000F5104">
              <w:rPr>
                <w:noProof/>
                <w:webHidden/>
              </w:rPr>
              <w:fldChar w:fldCharType="separate"/>
            </w:r>
            <w:r w:rsidR="000F5104">
              <w:rPr>
                <w:noProof/>
                <w:webHidden/>
              </w:rPr>
              <w:t>9-63</w:t>
            </w:r>
            <w:r w:rsidR="000F5104">
              <w:rPr>
                <w:noProof/>
                <w:webHidden/>
              </w:rPr>
              <w:fldChar w:fldCharType="end"/>
            </w:r>
          </w:hyperlink>
        </w:p>
        <w:p w14:paraId="2D757036" w14:textId="57D19D7E" w:rsidR="000F5104" w:rsidRDefault="00741DE0">
          <w:pPr>
            <w:pStyle w:val="TOC2"/>
            <w:rPr>
              <w:rFonts w:asciiTheme="minorHAnsi" w:eastAsiaTheme="minorEastAsia" w:hAnsiTheme="minorHAnsi"/>
              <w:noProof/>
              <w:color w:val="auto"/>
            </w:rPr>
          </w:pPr>
          <w:hyperlink w:anchor="_Toc536209155" w:history="1">
            <w:r w:rsidR="000F5104" w:rsidRPr="008C15FB">
              <w:rPr>
                <w:rStyle w:val="Hyperlink"/>
                <w:noProof/>
                <w14:scene3d>
                  <w14:camera w14:prst="orthographicFront"/>
                  <w14:lightRig w14:rig="threePt" w14:dir="t">
                    <w14:rot w14:lat="0" w14:lon="0" w14:rev="0"/>
                  </w14:lightRig>
                </w14:scene3d>
              </w:rPr>
              <w:t>9.4.</w:t>
            </w:r>
            <w:r w:rsidR="000F5104" w:rsidRPr="008C15FB">
              <w:rPr>
                <w:rStyle w:val="Hyperlink"/>
                <w:noProof/>
              </w:rPr>
              <w:t xml:space="preserve"> Relicensing Schedule</w:t>
            </w:r>
            <w:r w:rsidR="000F5104">
              <w:rPr>
                <w:noProof/>
                <w:webHidden/>
              </w:rPr>
              <w:tab/>
            </w:r>
            <w:r w:rsidR="000F5104">
              <w:rPr>
                <w:noProof/>
                <w:webHidden/>
              </w:rPr>
              <w:fldChar w:fldCharType="begin"/>
            </w:r>
            <w:r w:rsidR="000F5104">
              <w:rPr>
                <w:noProof/>
                <w:webHidden/>
              </w:rPr>
              <w:instrText xml:space="preserve"> PAGEREF _Toc536209155 \h </w:instrText>
            </w:r>
            <w:r w:rsidR="000F5104">
              <w:rPr>
                <w:noProof/>
                <w:webHidden/>
              </w:rPr>
            </w:r>
            <w:r w:rsidR="000F5104">
              <w:rPr>
                <w:noProof/>
                <w:webHidden/>
              </w:rPr>
              <w:fldChar w:fldCharType="separate"/>
            </w:r>
            <w:r w:rsidR="000F5104">
              <w:rPr>
                <w:noProof/>
                <w:webHidden/>
              </w:rPr>
              <w:t>9-64</w:t>
            </w:r>
            <w:r w:rsidR="000F5104">
              <w:rPr>
                <w:noProof/>
                <w:webHidden/>
              </w:rPr>
              <w:fldChar w:fldCharType="end"/>
            </w:r>
          </w:hyperlink>
        </w:p>
        <w:p w14:paraId="0D5EA4E8" w14:textId="5D72CE01" w:rsidR="000F5104" w:rsidRDefault="00741DE0">
          <w:pPr>
            <w:pStyle w:val="TOC2"/>
            <w:rPr>
              <w:rFonts w:asciiTheme="minorHAnsi" w:eastAsiaTheme="minorEastAsia" w:hAnsiTheme="minorHAnsi"/>
              <w:noProof/>
              <w:color w:val="auto"/>
            </w:rPr>
          </w:pPr>
          <w:hyperlink w:anchor="_Toc536209156" w:history="1">
            <w:r w:rsidR="000F5104" w:rsidRPr="008C15FB">
              <w:rPr>
                <w:rStyle w:val="Hyperlink"/>
                <w:rFonts w:eastAsia="Times New Roman"/>
                <w:noProof/>
                <w14:scene3d>
                  <w14:camera w14:prst="orthographicFront"/>
                  <w14:lightRig w14:rig="threePt" w14:dir="t">
                    <w14:rot w14:lat="0" w14:lon="0" w14:rev="0"/>
                  </w14:lightRig>
                </w14:scene3d>
              </w:rPr>
              <w:t>9.5.</w:t>
            </w:r>
            <w:r w:rsidR="000F5104" w:rsidRPr="008C15FB">
              <w:rPr>
                <w:rStyle w:val="Hyperlink"/>
                <w:rFonts w:eastAsia="Times New Roman"/>
                <w:noProof/>
              </w:rPr>
              <w:t xml:space="preserve"> Requirements and Risks to Relicensing</w:t>
            </w:r>
            <w:r w:rsidR="000F5104">
              <w:rPr>
                <w:noProof/>
                <w:webHidden/>
              </w:rPr>
              <w:tab/>
            </w:r>
            <w:r w:rsidR="000F5104">
              <w:rPr>
                <w:noProof/>
                <w:webHidden/>
              </w:rPr>
              <w:fldChar w:fldCharType="begin"/>
            </w:r>
            <w:r w:rsidR="000F5104">
              <w:rPr>
                <w:noProof/>
                <w:webHidden/>
              </w:rPr>
              <w:instrText xml:space="preserve"> PAGEREF _Toc536209156 \h </w:instrText>
            </w:r>
            <w:r w:rsidR="000F5104">
              <w:rPr>
                <w:noProof/>
                <w:webHidden/>
              </w:rPr>
            </w:r>
            <w:r w:rsidR="000F5104">
              <w:rPr>
                <w:noProof/>
                <w:webHidden/>
              </w:rPr>
              <w:fldChar w:fldCharType="separate"/>
            </w:r>
            <w:r w:rsidR="000F5104">
              <w:rPr>
                <w:noProof/>
                <w:webHidden/>
              </w:rPr>
              <w:t>9-66</w:t>
            </w:r>
            <w:r w:rsidR="000F5104">
              <w:rPr>
                <w:noProof/>
                <w:webHidden/>
              </w:rPr>
              <w:fldChar w:fldCharType="end"/>
            </w:r>
          </w:hyperlink>
        </w:p>
        <w:p w14:paraId="02E9113B" w14:textId="2343A9BB" w:rsidR="000F5104" w:rsidRDefault="00741DE0">
          <w:pPr>
            <w:pStyle w:val="TOC1"/>
            <w:rPr>
              <w:rFonts w:asciiTheme="minorHAnsi" w:eastAsiaTheme="minorEastAsia" w:hAnsiTheme="minorHAnsi"/>
              <w:color w:val="auto"/>
              <w:sz w:val="22"/>
            </w:rPr>
          </w:pPr>
          <w:hyperlink w:anchor="_Toc536209157" w:history="1">
            <w:r w:rsidR="000F5104" w:rsidRPr="008C15FB">
              <w:rPr>
                <w:rStyle w:val="Hyperlink"/>
              </w:rPr>
              <w:t>CHAPTER 10. SUPPLY-SIDE STRATEGY</w:t>
            </w:r>
            <w:r w:rsidR="000F5104">
              <w:rPr>
                <w:webHidden/>
              </w:rPr>
              <w:tab/>
            </w:r>
            <w:r w:rsidR="000F5104">
              <w:rPr>
                <w:webHidden/>
              </w:rPr>
              <w:fldChar w:fldCharType="begin"/>
            </w:r>
            <w:r w:rsidR="000F5104">
              <w:rPr>
                <w:webHidden/>
              </w:rPr>
              <w:instrText xml:space="preserve"> PAGEREF _Toc536209157 \h </w:instrText>
            </w:r>
            <w:r w:rsidR="000F5104">
              <w:rPr>
                <w:webHidden/>
              </w:rPr>
            </w:r>
            <w:r w:rsidR="000F5104">
              <w:rPr>
                <w:webHidden/>
              </w:rPr>
              <w:fldChar w:fldCharType="separate"/>
            </w:r>
            <w:r w:rsidR="000F5104">
              <w:rPr>
                <w:webHidden/>
              </w:rPr>
              <w:t>10-67</w:t>
            </w:r>
            <w:r w:rsidR="000F5104">
              <w:rPr>
                <w:webHidden/>
              </w:rPr>
              <w:fldChar w:fldCharType="end"/>
            </w:r>
          </w:hyperlink>
        </w:p>
        <w:p w14:paraId="4246B9B5" w14:textId="35947B7B" w:rsidR="000F5104" w:rsidRDefault="00741DE0">
          <w:pPr>
            <w:pStyle w:val="TOC2"/>
            <w:rPr>
              <w:rFonts w:asciiTheme="minorHAnsi" w:eastAsiaTheme="minorEastAsia" w:hAnsiTheme="minorHAnsi"/>
              <w:noProof/>
              <w:color w:val="auto"/>
            </w:rPr>
          </w:pPr>
          <w:hyperlink w:anchor="_Toc536209158" w:history="1">
            <w:r w:rsidR="000F5104" w:rsidRPr="008C15FB">
              <w:rPr>
                <w:rStyle w:val="Hyperlink"/>
                <w:noProof/>
                <w14:scene3d>
                  <w14:camera w14:prst="orthographicFront"/>
                  <w14:lightRig w14:rig="threePt" w14:dir="t">
                    <w14:rot w14:lat="0" w14:lon="0" w14:rev="0"/>
                  </w14:lightRig>
                </w14:scene3d>
              </w:rPr>
              <w:t>10.1.</w:t>
            </w:r>
            <w:r w:rsidR="000F5104" w:rsidRPr="008C15FB">
              <w:rPr>
                <w:rStyle w:val="Hyperlink"/>
                <w:noProof/>
              </w:rPr>
              <w:t xml:space="preserve"> Previous Resource Commitments</w:t>
            </w:r>
            <w:r w:rsidR="000F5104">
              <w:rPr>
                <w:noProof/>
                <w:webHidden/>
              </w:rPr>
              <w:tab/>
            </w:r>
            <w:r w:rsidR="000F5104">
              <w:rPr>
                <w:noProof/>
                <w:webHidden/>
              </w:rPr>
              <w:fldChar w:fldCharType="begin"/>
            </w:r>
            <w:r w:rsidR="000F5104">
              <w:rPr>
                <w:noProof/>
                <w:webHidden/>
              </w:rPr>
              <w:instrText xml:space="preserve"> PAGEREF _Toc536209158 \h </w:instrText>
            </w:r>
            <w:r w:rsidR="000F5104">
              <w:rPr>
                <w:noProof/>
                <w:webHidden/>
              </w:rPr>
            </w:r>
            <w:r w:rsidR="000F5104">
              <w:rPr>
                <w:noProof/>
                <w:webHidden/>
              </w:rPr>
              <w:fldChar w:fldCharType="separate"/>
            </w:r>
            <w:r w:rsidR="000F5104">
              <w:rPr>
                <w:noProof/>
                <w:webHidden/>
              </w:rPr>
              <w:t>10-67</w:t>
            </w:r>
            <w:r w:rsidR="000F5104">
              <w:rPr>
                <w:noProof/>
                <w:webHidden/>
              </w:rPr>
              <w:fldChar w:fldCharType="end"/>
            </w:r>
          </w:hyperlink>
        </w:p>
        <w:p w14:paraId="2E4F3437" w14:textId="402B8D2B" w:rsidR="000F5104" w:rsidRDefault="00741DE0">
          <w:pPr>
            <w:pStyle w:val="TOC2"/>
            <w:rPr>
              <w:rFonts w:asciiTheme="minorHAnsi" w:eastAsiaTheme="minorEastAsia" w:hAnsiTheme="minorHAnsi"/>
              <w:noProof/>
              <w:color w:val="auto"/>
            </w:rPr>
          </w:pPr>
          <w:hyperlink w:anchor="_Toc536209159" w:history="1">
            <w:r w:rsidR="000F5104" w:rsidRPr="008C15FB">
              <w:rPr>
                <w:rStyle w:val="Hyperlink"/>
                <w:noProof/>
                <w14:scene3d>
                  <w14:camera w14:prst="orthographicFront"/>
                  <w14:lightRig w14:rig="threePt" w14:dir="t">
                    <w14:rot w14:lat="0" w14:lon="0" w14:rev="0"/>
                  </w14:lightRig>
                </w14:scene3d>
              </w:rPr>
              <w:t>10.2.</w:t>
            </w:r>
            <w:r w:rsidR="000F5104" w:rsidRPr="008C15FB">
              <w:rPr>
                <w:rStyle w:val="Hyperlink"/>
                <w:noProof/>
              </w:rPr>
              <w:t xml:space="preserve"> Decertification of Resources</w:t>
            </w:r>
            <w:r w:rsidR="000F5104">
              <w:rPr>
                <w:noProof/>
                <w:webHidden/>
              </w:rPr>
              <w:tab/>
            </w:r>
            <w:r w:rsidR="000F5104">
              <w:rPr>
                <w:noProof/>
                <w:webHidden/>
              </w:rPr>
              <w:fldChar w:fldCharType="begin"/>
            </w:r>
            <w:r w:rsidR="000F5104">
              <w:rPr>
                <w:noProof/>
                <w:webHidden/>
              </w:rPr>
              <w:instrText xml:space="preserve"> PAGEREF _Toc536209159 \h </w:instrText>
            </w:r>
            <w:r w:rsidR="000F5104">
              <w:rPr>
                <w:noProof/>
                <w:webHidden/>
              </w:rPr>
            </w:r>
            <w:r w:rsidR="000F5104">
              <w:rPr>
                <w:noProof/>
                <w:webHidden/>
              </w:rPr>
              <w:fldChar w:fldCharType="separate"/>
            </w:r>
            <w:r w:rsidR="000F5104">
              <w:rPr>
                <w:noProof/>
                <w:webHidden/>
              </w:rPr>
              <w:t>10-67</w:t>
            </w:r>
            <w:r w:rsidR="000F5104">
              <w:rPr>
                <w:noProof/>
                <w:webHidden/>
              </w:rPr>
              <w:fldChar w:fldCharType="end"/>
            </w:r>
          </w:hyperlink>
        </w:p>
        <w:p w14:paraId="2F92FC32" w14:textId="08724289" w:rsidR="000F5104" w:rsidRDefault="00741DE0">
          <w:pPr>
            <w:pStyle w:val="TOC2"/>
            <w:rPr>
              <w:rFonts w:asciiTheme="minorHAnsi" w:eastAsiaTheme="minorEastAsia" w:hAnsiTheme="minorHAnsi"/>
              <w:noProof/>
              <w:color w:val="auto"/>
            </w:rPr>
          </w:pPr>
          <w:hyperlink w:anchor="_Toc536209160" w:history="1">
            <w:r w:rsidR="000F5104" w:rsidRPr="008C15FB">
              <w:rPr>
                <w:rStyle w:val="Hyperlink"/>
                <w:noProof/>
                <w14:scene3d>
                  <w14:camera w14:prst="orthographicFront"/>
                  <w14:lightRig w14:rig="threePt" w14:dir="t">
                    <w14:rot w14:lat="0" w14:lon="0" w14:rev="0"/>
                  </w14:lightRig>
                </w14:scene3d>
              </w:rPr>
              <w:t>10.3.</w:t>
            </w:r>
            <w:r w:rsidR="000F5104" w:rsidRPr="008C15FB">
              <w:rPr>
                <w:rStyle w:val="Hyperlink"/>
                <w:noProof/>
              </w:rPr>
              <w:t xml:space="preserve"> Certification of Additional Capacity</w:t>
            </w:r>
            <w:r w:rsidR="000F5104">
              <w:rPr>
                <w:noProof/>
                <w:webHidden/>
              </w:rPr>
              <w:tab/>
            </w:r>
            <w:r w:rsidR="000F5104">
              <w:rPr>
                <w:noProof/>
                <w:webHidden/>
              </w:rPr>
              <w:fldChar w:fldCharType="begin"/>
            </w:r>
            <w:r w:rsidR="000F5104">
              <w:rPr>
                <w:noProof/>
                <w:webHidden/>
              </w:rPr>
              <w:instrText xml:space="preserve"> PAGEREF _Toc536209160 \h </w:instrText>
            </w:r>
            <w:r w:rsidR="000F5104">
              <w:rPr>
                <w:noProof/>
                <w:webHidden/>
              </w:rPr>
            </w:r>
            <w:r w:rsidR="000F5104">
              <w:rPr>
                <w:noProof/>
                <w:webHidden/>
              </w:rPr>
              <w:fldChar w:fldCharType="separate"/>
            </w:r>
            <w:r w:rsidR="000F5104">
              <w:rPr>
                <w:noProof/>
                <w:webHidden/>
              </w:rPr>
              <w:t>10-68</w:t>
            </w:r>
            <w:r w:rsidR="000F5104">
              <w:rPr>
                <w:noProof/>
                <w:webHidden/>
              </w:rPr>
              <w:fldChar w:fldCharType="end"/>
            </w:r>
          </w:hyperlink>
        </w:p>
        <w:p w14:paraId="34E1D851" w14:textId="3AAD9E43" w:rsidR="000F5104" w:rsidRDefault="00741DE0">
          <w:pPr>
            <w:pStyle w:val="TOC2"/>
            <w:rPr>
              <w:rFonts w:asciiTheme="minorHAnsi" w:eastAsiaTheme="minorEastAsia" w:hAnsiTheme="minorHAnsi"/>
              <w:noProof/>
              <w:color w:val="auto"/>
            </w:rPr>
          </w:pPr>
          <w:hyperlink w:anchor="_Toc536209161" w:history="1">
            <w:r w:rsidR="000F5104" w:rsidRPr="008C15FB">
              <w:rPr>
                <w:rStyle w:val="Hyperlink"/>
                <w:noProof/>
                <w14:scene3d>
                  <w14:camera w14:prst="orthographicFront"/>
                  <w14:lightRig w14:rig="threePt" w14:dir="t">
                    <w14:rot w14:lat="0" w14:lon="0" w14:rev="0"/>
                  </w14:lightRig>
                </w14:scene3d>
              </w:rPr>
              <w:t>10.4.</w:t>
            </w:r>
            <w:r w:rsidR="000F5104" w:rsidRPr="008C15FB">
              <w:rPr>
                <w:rStyle w:val="Hyperlink"/>
                <w:noProof/>
              </w:rPr>
              <w:t xml:space="preserve"> Environmental Compliance Strategy</w:t>
            </w:r>
            <w:r w:rsidR="000F5104">
              <w:rPr>
                <w:noProof/>
                <w:webHidden/>
              </w:rPr>
              <w:tab/>
            </w:r>
            <w:r w:rsidR="000F5104">
              <w:rPr>
                <w:noProof/>
                <w:webHidden/>
              </w:rPr>
              <w:fldChar w:fldCharType="begin"/>
            </w:r>
            <w:r w:rsidR="000F5104">
              <w:rPr>
                <w:noProof/>
                <w:webHidden/>
              </w:rPr>
              <w:instrText xml:space="preserve"> PAGEREF _Toc536209161 \h </w:instrText>
            </w:r>
            <w:r w:rsidR="000F5104">
              <w:rPr>
                <w:noProof/>
                <w:webHidden/>
              </w:rPr>
            </w:r>
            <w:r w:rsidR="000F5104">
              <w:rPr>
                <w:noProof/>
                <w:webHidden/>
              </w:rPr>
              <w:fldChar w:fldCharType="separate"/>
            </w:r>
            <w:r w:rsidR="000F5104">
              <w:rPr>
                <w:noProof/>
                <w:webHidden/>
              </w:rPr>
              <w:t>10-68</w:t>
            </w:r>
            <w:r w:rsidR="000F5104">
              <w:rPr>
                <w:noProof/>
                <w:webHidden/>
              </w:rPr>
              <w:fldChar w:fldCharType="end"/>
            </w:r>
          </w:hyperlink>
        </w:p>
        <w:p w14:paraId="57346035" w14:textId="04345BCE" w:rsidR="000F5104" w:rsidRDefault="00741DE0">
          <w:pPr>
            <w:pStyle w:val="TOC2"/>
            <w:rPr>
              <w:rFonts w:asciiTheme="minorHAnsi" w:eastAsiaTheme="minorEastAsia" w:hAnsiTheme="minorHAnsi"/>
              <w:noProof/>
              <w:color w:val="auto"/>
            </w:rPr>
          </w:pPr>
          <w:hyperlink w:anchor="_Toc536209162" w:history="1">
            <w:r w:rsidR="000F5104" w:rsidRPr="008C15FB">
              <w:rPr>
                <w:rStyle w:val="Hyperlink"/>
                <w:noProof/>
                <w14:scene3d>
                  <w14:camera w14:prst="orthographicFront"/>
                  <w14:lightRig w14:rig="threePt" w14:dir="t">
                    <w14:rot w14:lat="0" w14:lon="0" w14:rev="0"/>
                  </w14:lightRig>
                </w14:scene3d>
              </w:rPr>
              <w:t>10.5.</w:t>
            </w:r>
            <w:r w:rsidR="000F5104" w:rsidRPr="008C15FB">
              <w:rPr>
                <w:rStyle w:val="Hyperlink"/>
                <w:noProof/>
              </w:rPr>
              <w:t xml:space="preserve"> Future Uncertainty</w:t>
            </w:r>
            <w:r w:rsidR="000F5104">
              <w:rPr>
                <w:noProof/>
                <w:webHidden/>
              </w:rPr>
              <w:tab/>
            </w:r>
            <w:r w:rsidR="000F5104">
              <w:rPr>
                <w:noProof/>
                <w:webHidden/>
              </w:rPr>
              <w:fldChar w:fldCharType="begin"/>
            </w:r>
            <w:r w:rsidR="000F5104">
              <w:rPr>
                <w:noProof/>
                <w:webHidden/>
              </w:rPr>
              <w:instrText xml:space="preserve"> PAGEREF _Toc536209162 \h </w:instrText>
            </w:r>
            <w:r w:rsidR="000F5104">
              <w:rPr>
                <w:noProof/>
                <w:webHidden/>
              </w:rPr>
            </w:r>
            <w:r w:rsidR="000F5104">
              <w:rPr>
                <w:noProof/>
                <w:webHidden/>
              </w:rPr>
              <w:fldChar w:fldCharType="separate"/>
            </w:r>
            <w:r w:rsidR="000F5104">
              <w:rPr>
                <w:noProof/>
                <w:webHidden/>
              </w:rPr>
              <w:t>10-70</w:t>
            </w:r>
            <w:r w:rsidR="000F5104">
              <w:rPr>
                <w:noProof/>
                <w:webHidden/>
              </w:rPr>
              <w:fldChar w:fldCharType="end"/>
            </w:r>
          </w:hyperlink>
        </w:p>
        <w:p w14:paraId="0F5BC7B8" w14:textId="633D101C" w:rsidR="000F5104" w:rsidRDefault="00741DE0">
          <w:pPr>
            <w:pStyle w:val="TOC2"/>
            <w:rPr>
              <w:rFonts w:asciiTheme="minorHAnsi" w:eastAsiaTheme="minorEastAsia" w:hAnsiTheme="minorHAnsi"/>
              <w:noProof/>
              <w:color w:val="auto"/>
            </w:rPr>
          </w:pPr>
          <w:hyperlink w:anchor="_Toc536209163" w:history="1">
            <w:r w:rsidR="000F5104" w:rsidRPr="008C15FB">
              <w:rPr>
                <w:rStyle w:val="Hyperlink"/>
                <w:noProof/>
                <w14:scene3d>
                  <w14:camera w14:prst="orthographicFront"/>
                  <w14:lightRig w14:rig="threePt" w14:dir="t">
                    <w14:rot w14:lat="0" w14:lon="0" w14:rev="0"/>
                  </w14:lightRig>
                </w14:scene3d>
              </w:rPr>
              <w:t>10.6.</w:t>
            </w:r>
            <w:r w:rsidR="000F5104" w:rsidRPr="008C15FB">
              <w:rPr>
                <w:rStyle w:val="Hyperlink"/>
                <w:noProof/>
              </w:rPr>
              <w:t xml:space="preserve"> Capacity Requests for Proposals</w:t>
            </w:r>
            <w:r w:rsidR="000F5104">
              <w:rPr>
                <w:noProof/>
                <w:webHidden/>
              </w:rPr>
              <w:tab/>
            </w:r>
            <w:r w:rsidR="000F5104">
              <w:rPr>
                <w:noProof/>
                <w:webHidden/>
              </w:rPr>
              <w:fldChar w:fldCharType="begin"/>
            </w:r>
            <w:r w:rsidR="000F5104">
              <w:rPr>
                <w:noProof/>
                <w:webHidden/>
              </w:rPr>
              <w:instrText xml:space="preserve"> PAGEREF _Toc536209163 \h </w:instrText>
            </w:r>
            <w:r w:rsidR="000F5104">
              <w:rPr>
                <w:noProof/>
                <w:webHidden/>
              </w:rPr>
            </w:r>
            <w:r w:rsidR="000F5104">
              <w:rPr>
                <w:noProof/>
                <w:webHidden/>
              </w:rPr>
              <w:fldChar w:fldCharType="separate"/>
            </w:r>
            <w:r w:rsidR="000F5104">
              <w:rPr>
                <w:noProof/>
                <w:webHidden/>
              </w:rPr>
              <w:t>10-71</w:t>
            </w:r>
            <w:r w:rsidR="000F5104">
              <w:rPr>
                <w:noProof/>
                <w:webHidden/>
              </w:rPr>
              <w:fldChar w:fldCharType="end"/>
            </w:r>
          </w:hyperlink>
        </w:p>
        <w:p w14:paraId="4F0997FD" w14:textId="18B2B933" w:rsidR="000F5104" w:rsidRDefault="00741DE0">
          <w:pPr>
            <w:pStyle w:val="TOC2"/>
            <w:rPr>
              <w:rFonts w:asciiTheme="minorHAnsi" w:eastAsiaTheme="minorEastAsia" w:hAnsiTheme="minorHAnsi"/>
              <w:noProof/>
              <w:color w:val="auto"/>
            </w:rPr>
          </w:pPr>
          <w:hyperlink w:anchor="_Toc536209164" w:history="1">
            <w:r w:rsidR="000F5104" w:rsidRPr="008C15FB">
              <w:rPr>
                <w:rStyle w:val="Hyperlink"/>
                <w:noProof/>
                <w14:scene3d>
                  <w14:camera w14:prst="orthographicFront"/>
                  <w14:lightRig w14:rig="threePt" w14:dir="t">
                    <w14:rot w14:lat="0" w14:lon="0" w14:rev="0"/>
                  </w14:lightRig>
                </w14:scene3d>
              </w:rPr>
              <w:t>10.7.</w:t>
            </w:r>
            <w:r w:rsidR="000F5104" w:rsidRPr="008C15FB">
              <w:rPr>
                <w:rStyle w:val="Hyperlink"/>
                <w:noProof/>
              </w:rPr>
              <w:t xml:space="preserve"> Blackstart Resources</w:t>
            </w:r>
            <w:r w:rsidR="000F5104">
              <w:rPr>
                <w:noProof/>
                <w:webHidden/>
              </w:rPr>
              <w:tab/>
            </w:r>
            <w:r w:rsidR="000F5104">
              <w:rPr>
                <w:noProof/>
                <w:webHidden/>
              </w:rPr>
              <w:fldChar w:fldCharType="begin"/>
            </w:r>
            <w:r w:rsidR="000F5104">
              <w:rPr>
                <w:noProof/>
                <w:webHidden/>
              </w:rPr>
              <w:instrText xml:space="preserve"> PAGEREF _Toc536209164 \h </w:instrText>
            </w:r>
            <w:r w:rsidR="000F5104">
              <w:rPr>
                <w:noProof/>
                <w:webHidden/>
              </w:rPr>
            </w:r>
            <w:r w:rsidR="000F5104">
              <w:rPr>
                <w:noProof/>
                <w:webHidden/>
              </w:rPr>
              <w:fldChar w:fldCharType="separate"/>
            </w:r>
            <w:r w:rsidR="000F5104">
              <w:rPr>
                <w:noProof/>
                <w:webHidden/>
              </w:rPr>
              <w:t>10-72</w:t>
            </w:r>
            <w:r w:rsidR="000F5104">
              <w:rPr>
                <w:noProof/>
                <w:webHidden/>
              </w:rPr>
              <w:fldChar w:fldCharType="end"/>
            </w:r>
          </w:hyperlink>
        </w:p>
        <w:p w14:paraId="3E189CF4" w14:textId="72DF833D" w:rsidR="000F5104" w:rsidRDefault="00741DE0">
          <w:pPr>
            <w:pStyle w:val="TOC2"/>
            <w:rPr>
              <w:rFonts w:asciiTheme="minorHAnsi" w:eastAsiaTheme="minorEastAsia" w:hAnsiTheme="minorHAnsi"/>
              <w:noProof/>
              <w:color w:val="auto"/>
            </w:rPr>
          </w:pPr>
          <w:hyperlink w:anchor="_Toc536209165" w:history="1">
            <w:r w:rsidR="000F5104" w:rsidRPr="008C15FB">
              <w:rPr>
                <w:rStyle w:val="Hyperlink"/>
                <w:noProof/>
                <w14:scene3d>
                  <w14:camera w14:prst="orthographicFront"/>
                  <w14:lightRig w14:rig="threePt" w14:dir="t">
                    <w14:rot w14:lat="0" w14:lon="0" w14:rev="0"/>
                  </w14:lightRig>
                </w14:scene3d>
              </w:rPr>
              <w:t>10.8.</w:t>
            </w:r>
            <w:r w:rsidR="000F5104" w:rsidRPr="008C15FB">
              <w:rPr>
                <w:rStyle w:val="Hyperlink"/>
                <w:noProof/>
              </w:rPr>
              <w:t xml:space="preserve"> New Renewables</w:t>
            </w:r>
            <w:r w:rsidR="000F5104">
              <w:rPr>
                <w:noProof/>
                <w:webHidden/>
              </w:rPr>
              <w:tab/>
            </w:r>
            <w:r w:rsidR="000F5104">
              <w:rPr>
                <w:noProof/>
                <w:webHidden/>
              </w:rPr>
              <w:fldChar w:fldCharType="begin"/>
            </w:r>
            <w:r w:rsidR="000F5104">
              <w:rPr>
                <w:noProof/>
                <w:webHidden/>
              </w:rPr>
              <w:instrText xml:space="preserve"> PAGEREF _Toc536209165 \h </w:instrText>
            </w:r>
            <w:r w:rsidR="000F5104">
              <w:rPr>
                <w:noProof/>
                <w:webHidden/>
              </w:rPr>
            </w:r>
            <w:r w:rsidR="000F5104">
              <w:rPr>
                <w:noProof/>
                <w:webHidden/>
              </w:rPr>
              <w:fldChar w:fldCharType="separate"/>
            </w:r>
            <w:r w:rsidR="000F5104">
              <w:rPr>
                <w:noProof/>
                <w:webHidden/>
              </w:rPr>
              <w:t>10-72</w:t>
            </w:r>
            <w:r w:rsidR="000F5104">
              <w:rPr>
                <w:noProof/>
                <w:webHidden/>
              </w:rPr>
              <w:fldChar w:fldCharType="end"/>
            </w:r>
          </w:hyperlink>
        </w:p>
        <w:p w14:paraId="514A0086" w14:textId="3016A6EB" w:rsidR="000F5104" w:rsidRDefault="00741DE0">
          <w:pPr>
            <w:pStyle w:val="TOC2"/>
            <w:rPr>
              <w:rFonts w:asciiTheme="minorHAnsi" w:eastAsiaTheme="minorEastAsia" w:hAnsiTheme="minorHAnsi"/>
              <w:noProof/>
              <w:color w:val="auto"/>
            </w:rPr>
          </w:pPr>
          <w:hyperlink w:anchor="_Toc536209166" w:history="1">
            <w:r w:rsidR="000F5104" w:rsidRPr="008C15FB">
              <w:rPr>
                <w:rStyle w:val="Hyperlink"/>
                <w:noProof/>
                <w14:scene3d>
                  <w14:camera w14:prst="orthographicFront"/>
                  <w14:lightRig w14:rig="threePt" w14:dir="t">
                    <w14:rot w14:lat="0" w14:lon="0" w14:rev="0"/>
                  </w14:lightRig>
                </w14:scene3d>
              </w:rPr>
              <w:t>10.9.</w:t>
            </w:r>
            <w:r w:rsidR="000F5104" w:rsidRPr="008C15FB">
              <w:rPr>
                <w:rStyle w:val="Hyperlink"/>
                <w:noProof/>
              </w:rPr>
              <w:t xml:space="preserve"> Battery Energy Storage Systems</w:t>
            </w:r>
            <w:r w:rsidR="000F5104">
              <w:rPr>
                <w:noProof/>
                <w:webHidden/>
              </w:rPr>
              <w:tab/>
            </w:r>
            <w:r w:rsidR="000F5104">
              <w:rPr>
                <w:noProof/>
                <w:webHidden/>
              </w:rPr>
              <w:fldChar w:fldCharType="begin"/>
            </w:r>
            <w:r w:rsidR="000F5104">
              <w:rPr>
                <w:noProof/>
                <w:webHidden/>
              </w:rPr>
              <w:instrText xml:space="preserve"> PAGEREF _Toc536209166 \h </w:instrText>
            </w:r>
            <w:r w:rsidR="000F5104">
              <w:rPr>
                <w:noProof/>
                <w:webHidden/>
              </w:rPr>
            </w:r>
            <w:r w:rsidR="000F5104">
              <w:rPr>
                <w:noProof/>
                <w:webHidden/>
              </w:rPr>
              <w:fldChar w:fldCharType="separate"/>
            </w:r>
            <w:r w:rsidR="000F5104">
              <w:rPr>
                <w:noProof/>
                <w:webHidden/>
              </w:rPr>
              <w:t>10-72</w:t>
            </w:r>
            <w:r w:rsidR="000F5104">
              <w:rPr>
                <w:noProof/>
                <w:webHidden/>
              </w:rPr>
              <w:fldChar w:fldCharType="end"/>
            </w:r>
          </w:hyperlink>
        </w:p>
        <w:p w14:paraId="1F030440" w14:textId="10D6D927" w:rsidR="000F5104" w:rsidRDefault="00741DE0">
          <w:pPr>
            <w:pStyle w:val="TOC2"/>
            <w:rPr>
              <w:rFonts w:asciiTheme="minorHAnsi" w:eastAsiaTheme="minorEastAsia" w:hAnsiTheme="minorHAnsi"/>
              <w:noProof/>
              <w:color w:val="auto"/>
            </w:rPr>
          </w:pPr>
          <w:hyperlink w:anchor="_Toc536209167" w:history="1">
            <w:r w:rsidR="000F5104" w:rsidRPr="008C15FB">
              <w:rPr>
                <w:rStyle w:val="Hyperlink"/>
                <w:noProof/>
                <w14:scene3d>
                  <w14:camera w14:prst="orthographicFront"/>
                  <w14:lightRig w14:rig="threePt" w14:dir="t">
                    <w14:rot w14:lat="0" w14:lon="0" w14:rev="0"/>
                  </w14:lightRig>
                </w14:scene3d>
              </w:rPr>
              <w:t>10.10.</w:t>
            </w:r>
            <w:r w:rsidR="000F5104" w:rsidRPr="008C15FB">
              <w:rPr>
                <w:rStyle w:val="Hyperlink"/>
                <w:noProof/>
              </w:rPr>
              <w:t xml:space="preserve"> Distributed Energy Resources</w:t>
            </w:r>
            <w:r w:rsidR="000F5104">
              <w:rPr>
                <w:noProof/>
                <w:webHidden/>
              </w:rPr>
              <w:tab/>
            </w:r>
            <w:r w:rsidR="000F5104">
              <w:rPr>
                <w:noProof/>
                <w:webHidden/>
              </w:rPr>
              <w:fldChar w:fldCharType="begin"/>
            </w:r>
            <w:r w:rsidR="000F5104">
              <w:rPr>
                <w:noProof/>
                <w:webHidden/>
              </w:rPr>
              <w:instrText xml:space="preserve"> PAGEREF _Toc536209167 \h </w:instrText>
            </w:r>
            <w:r w:rsidR="000F5104">
              <w:rPr>
                <w:noProof/>
                <w:webHidden/>
              </w:rPr>
            </w:r>
            <w:r w:rsidR="000F5104">
              <w:rPr>
                <w:noProof/>
                <w:webHidden/>
              </w:rPr>
              <w:fldChar w:fldCharType="separate"/>
            </w:r>
            <w:r w:rsidR="000F5104">
              <w:rPr>
                <w:noProof/>
                <w:webHidden/>
              </w:rPr>
              <w:t>10-75</w:t>
            </w:r>
            <w:r w:rsidR="000F5104">
              <w:rPr>
                <w:noProof/>
                <w:webHidden/>
              </w:rPr>
              <w:fldChar w:fldCharType="end"/>
            </w:r>
          </w:hyperlink>
        </w:p>
        <w:p w14:paraId="51C6D07C" w14:textId="3DEA32BC" w:rsidR="000F5104" w:rsidRDefault="00741DE0">
          <w:pPr>
            <w:pStyle w:val="TOC1"/>
            <w:rPr>
              <w:rFonts w:asciiTheme="minorHAnsi" w:eastAsiaTheme="minorEastAsia" w:hAnsiTheme="minorHAnsi"/>
              <w:color w:val="auto"/>
              <w:sz w:val="22"/>
            </w:rPr>
          </w:pPr>
          <w:hyperlink w:anchor="_Toc536209168" w:history="1">
            <w:r w:rsidR="000F5104" w:rsidRPr="008C15FB">
              <w:rPr>
                <w:rStyle w:val="Hyperlink"/>
              </w:rPr>
              <w:t>CHAPTER 11. WHOLESALE GENERATION</w:t>
            </w:r>
            <w:r w:rsidR="000F5104">
              <w:rPr>
                <w:webHidden/>
              </w:rPr>
              <w:tab/>
            </w:r>
            <w:r w:rsidR="000F5104">
              <w:rPr>
                <w:webHidden/>
              </w:rPr>
              <w:fldChar w:fldCharType="begin"/>
            </w:r>
            <w:r w:rsidR="000F5104">
              <w:rPr>
                <w:webHidden/>
              </w:rPr>
              <w:instrText xml:space="preserve"> PAGEREF _Toc536209168 \h </w:instrText>
            </w:r>
            <w:r w:rsidR="000F5104">
              <w:rPr>
                <w:webHidden/>
              </w:rPr>
            </w:r>
            <w:r w:rsidR="000F5104">
              <w:rPr>
                <w:webHidden/>
              </w:rPr>
              <w:fldChar w:fldCharType="separate"/>
            </w:r>
            <w:r w:rsidR="000F5104">
              <w:rPr>
                <w:webHidden/>
              </w:rPr>
              <w:t>11-78</w:t>
            </w:r>
            <w:r w:rsidR="000F5104">
              <w:rPr>
                <w:webHidden/>
              </w:rPr>
              <w:fldChar w:fldCharType="end"/>
            </w:r>
          </w:hyperlink>
        </w:p>
        <w:p w14:paraId="5338F897" w14:textId="130DAC0A" w:rsidR="000F5104" w:rsidRDefault="00741DE0">
          <w:pPr>
            <w:pStyle w:val="TOC1"/>
            <w:rPr>
              <w:rFonts w:asciiTheme="minorHAnsi" w:eastAsiaTheme="minorEastAsia" w:hAnsiTheme="minorHAnsi"/>
              <w:color w:val="auto"/>
              <w:sz w:val="22"/>
            </w:rPr>
          </w:pPr>
          <w:hyperlink w:anchor="_Toc536209169" w:history="1">
            <w:r w:rsidR="000F5104" w:rsidRPr="008C15FB">
              <w:rPr>
                <w:rStyle w:val="Hyperlink"/>
              </w:rPr>
              <w:t>CHAPTER 12. TRANSMISSION</w:t>
            </w:r>
            <w:r w:rsidR="000F5104">
              <w:rPr>
                <w:webHidden/>
              </w:rPr>
              <w:tab/>
            </w:r>
            <w:r w:rsidR="000F5104">
              <w:rPr>
                <w:webHidden/>
              </w:rPr>
              <w:fldChar w:fldCharType="begin"/>
            </w:r>
            <w:r w:rsidR="000F5104">
              <w:rPr>
                <w:webHidden/>
              </w:rPr>
              <w:instrText xml:space="preserve"> PAGEREF _Toc536209169 \h </w:instrText>
            </w:r>
            <w:r w:rsidR="000F5104">
              <w:rPr>
                <w:webHidden/>
              </w:rPr>
            </w:r>
            <w:r w:rsidR="000F5104">
              <w:rPr>
                <w:webHidden/>
              </w:rPr>
              <w:fldChar w:fldCharType="separate"/>
            </w:r>
            <w:r w:rsidR="000F5104">
              <w:rPr>
                <w:webHidden/>
              </w:rPr>
              <w:t>12-79</w:t>
            </w:r>
            <w:r w:rsidR="000F5104">
              <w:rPr>
                <w:webHidden/>
              </w:rPr>
              <w:fldChar w:fldCharType="end"/>
            </w:r>
          </w:hyperlink>
        </w:p>
        <w:p w14:paraId="4BA5A700" w14:textId="2E4978ED" w:rsidR="000F5104" w:rsidRDefault="00741DE0">
          <w:pPr>
            <w:pStyle w:val="TOC2"/>
            <w:rPr>
              <w:rFonts w:asciiTheme="minorHAnsi" w:eastAsiaTheme="minorEastAsia" w:hAnsiTheme="minorHAnsi"/>
              <w:noProof/>
              <w:color w:val="auto"/>
            </w:rPr>
          </w:pPr>
          <w:hyperlink w:anchor="_Toc536209170" w:history="1">
            <w:r w:rsidR="000F5104" w:rsidRPr="008C15FB">
              <w:rPr>
                <w:rStyle w:val="Hyperlink"/>
                <w:noProof/>
                <w14:scene3d>
                  <w14:camera w14:prst="orthographicFront"/>
                  <w14:lightRig w14:rig="threePt" w14:dir="t">
                    <w14:rot w14:lat="0" w14:lon="0" w14:rev="0"/>
                  </w14:lightRig>
                </w14:scene3d>
              </w:rPr>
              <w:t>12.1.</w:t>
            </w:r>
            <w:r w:rsidR="000F5104" w:rsidRPr="008C15FB">
              <w:rPr>
                <w:rStyle w:val="Hyperlink"/>
                <w:noProof/>
              </w:rPr>
              <w:t xml:space="preserve"> Transmission Planning Principles</w:t>
            </w:r>
            <w:r w:rsidR="000F5104">
              <w:rPr>
                <w:noProof/>
                <w:webHidden/>
              </w:rPr>
              <w:tab/>
            </w:r>
            <w:r w:rsidR="000F5104">
              <w:rPr>
                <w:noProof/>
                <w:webHidden/>
              </w:rPr>
              <w:fldChar w:fldCharType="begin"/>
            </w:r>
            <w:r w:rsidR="000F5104">
              <w:rPr>
                <w:noProof/>
                <w:webHidden/>
              </w:rPr>
              <w:instrText xml:space="preserve"> PAGEREF _Toc536209170 \h </w:instrText>
            </w:r>
            <w:r w:rsidR="000F5104">
              <w:rPr>
                <w:noProof/>
                <w:webHidden/>
              </w:rPr>
            </w:r>
            <w:r w:rsidR="000F5104">
              <w:rPr>
                <w:noProof/>
                <w:webHidden/>
              </w:rPr>
              <w:fldChar w:fldCharType="separate"/>
            </w:r>
            <w:r w:rsidR="000F5104">
              <w:rPr>
                <w:noProof/>
                <w:webHidden/>
              </w:rPr>
              <w:t>12-79</w:t>
            </w:r>
            <w:r w:rsidR="000F5104">
              <w:rPr>
                <w:noProof/>
                <w:webHidden/>
              </w:rPr>
              <w:fldChar w:fldCharType="end"/>
            </w:r>
          </w:hyperlink>
        </w:p>
        <w:p w14:paraId="2D04854A" w14:textId="4137BE56" w:rsidR="000F5104" w:rsidRDefault="00741DE0">
          <w:pPr>
            <w:pStyle w:val="TOC2"/>
            <w:rPr>
              <w:rFonts w:asciiTheme="minorHAnsi" w:eastAsiaTheme="minorEastAsia" w:hAnsiTheme="minorHAnsi"/>
              <w:noProof/>
              <w:color w:val="auto"/>
            </w:rPr>
          </w:pPr>
          <w:hyperlink w:anchor="_Toc536209171" w:history="1">
            <w:r w:rsidR="000F5104" w:rsidRPr="008C15FB">
              <w:rPr>
                <w:rStyle w:val="Hyperlink"/>
                <w:noProof/>
                <w14:scene3d>
                  <w14:camera w14:prst="orthographicFront"/>
                  <w14:lightRig w14:rig="threePt" w14:dir="t">
                    <w14:rot w14:lat="0" w14:lon="0" w14:rev="0"/>
                  </w14:lightRig>
                </w14:scene3d>
              </w:rPr>
              <w:t>12.2.</w:t>
            </w:r>
            <w:r w:rsidR="000F5104" w:rsidRPr="008C15FB">
              <w:rPr>
                <w:rStyle w:val="Hyperlink"/>
                <w:noProof/>
              </w:rPr>
              <w:t xml:space="preserve"> Ten-Year Transmission Plan</w:t>
            </w:r>
            <w:r w:rsidR="000F5104">
              <w:rPr>
                <w:noProof/>
                <w:webHidden/>
              </w:rPr>
              <w:tab/>
            </w:r>
            <w:r w:rsidR="000F5104">
              <w:rPr>
                <w:noProof/>
                <w:webHidden/>
              </w:rPr>
              <w:fldChar w:fldCharType="begin"/>
            </w:r>
            <w:r w:rsidR="000F5104">
              <w:rPr>
                <w:noProof/>
                <w:webHidden/>
              </w:rPr>
              <w:instrText xml:space="preserve"> PAGEREF _Toc536209171 \h </w:instrText>
            </w:r>
            <w:r w:rsidR="000F5104">
              <w:rPr>
                <w:noProof/>
                <w:webHidden/>
              </w:rPr>
            </w:r>
            <w:r w:rsidR="000F5104">
              <w:rPr>
                <w:noProof/>
                <w:webHidden/>
              </w:rPr>
              <w:fldChar w:fldCharType="separate"/>
            </w:r>
            <w:r w:rsidR="000F5104">
              <w:rPr>
                <w:noProof/>
                <w:webHidden/>
              </w:rPr>
              <w:t>12-80</w:t>
            </w:r>
            <w:r w:rsidR="000F5104">
              <w:rPr>
                <w:noProof/>
                <w:webHidden/>
              </w:rPr>
              <w:fldChar w:fldCharType="end"/>
            </w:r>
          </w:hyperlink>
        </w:p>
        <w:p w14:paraId="217A3D01" w14:textId="7B87430F" w:rsidR="000F5104" w:rsidRDefault="00741DE0">
          <w:pPr>
            <w:pStyle w:val="TOC1"/>
            <w:rPr>
              <w:rFonts w:asciiTheme="minorHAnsi" w:eastAsiaTheme="minorEastAsia" w:hAnsiTheme="minorHAnsi"/>
              <w:color w:val="auto"/>
              <w:sz w:val="22"/>
            </w:rPr>
          </w:pPr>
          <w:hyperlink w:anchor="_Toc536209172" w:history="1">
            <w:r w:rsidR="000F5104" w:rsidRPr="008C15FB">
              <w:rPr>
                <w:rStyle w:val="Hyperlink"/>
              </w:rPr>
              <w:t>CHAPTER 13. EMERGING RESILIENCE NEEDS</w:t>
            </w:r>
            <w:r w:rsidR="000F5104">
              <w:rPr>
                <w:webHidden/>
              </w:rPr>
              <w:tab/>
            </w:r>
            <w:r w:rsidR="000F5104">
              <w:rPr>
                <w:webHidden/>
              </w:rPr>
              <w:fldChar w:fldCharType="begin"/>
            </w:r>
            <w:r w:rsidR="000F5104">
              <w:rPr>
                <w:webHidden/>
              </w:rPr>
              <w:instrText xml:space="preserve"> PAGEREF _Toc536209172 \h </w:instrText>
            </w:r>
            <w:r w:rsidR="000F5104">
              <w:rPr>
                <w:webHidden/>
              </w:rPr>
            </w:r>
            <w:r w:rsidR="000F5104">
              <w:rPr>
                <w:webHidden/>
              </w:rPr>
              <w:fldChar w:fldCharType="separate"/>
            </w:r>
            <w:r w:rsidR="000F5104">
              <w:rPr>
                <w:webHidden/>
              </w:rPr>
              <w:t>13-82</w:t>
            </w:r>
            <w:r w:rsidR="000F5104">
              <w:rPr>
                <w:webHidden/>
              </w:rPr>
              <w:fldChar w:fldCharType="end"/>
            </w:r>
          </w:hyperlink>
        </w:p>
        <w:p w14:paraId="69831006" w14:textId="12F92A6A" w:rsidR="000F5104" w:rsidRDefault="00741DE0">
          <w:pPr>
            <w:pStyle w:val="TOC1"/>
            <w:rPr>
              <w:rFonts w:asciiTheme="minorHAnsi" w:eastAsiaTheme="minorEastAsia" w:hAnsiTheme="minorHAnsi"/>
              <w:color w:val="auto"/>
              <w:sz w:val="22"/>
            </w:rPr>
          </w:pPr>
          <w:hyperlink w:anchor="_Toc536209173" w:history="1">
            <w:r w:rsidR="000F5104" w:rsidRPr="008C15FB">
              <w:rPr>
                <w:rStyle w:val="Hyperlink"/>
              </w:rPr>
              <w:t>CHAPTER 14. CONCLUSION &amp; ACTION PLAN</w:t>
            </w:r>
            <w:r w:rsidR="000F5104">
              <w:rPr>
                <w:webHidden/>
              </w:rPr>
              <w:tab/>
            </w:r>
            <w:r w:rsidR="000F5104">
              <w:rPr>
                <w:webHidden/>
              </w:rPr>
              <w:fldChar w:fldCharType="begin"/>
            </w:r>
            <w:r w:rsidR="000F5104">
              <w:rPr>
                <w:webHidden/>
              </w:rPr>
              <w:instrText xml:space="preserve"> PAGEREF _Toc536209173 \h </w:instrText>
            </w:r>
            <w:r w:rsidR="000F5104">
              <w:rPr>
                <w:webHidden/>
              </w:rPr>
            </w:r>
            <w:r w:rsidR="000F5104">
              <w:rPr>
                <w:webHidden/>
              </w:rPr>
              <w:fldChar w:fldCharType="separate"/>
            </w:r>
            <w:r w:rsidR="000F5104">
              <w:rPr>
                <w:webHidden/>
              </w:rPr>
              <w:t>14-84</w:t>
            </w:r>
            <w:r w:rsidR="000F5104">
              <w:rPr>
                <w:webHidden/>
              </w:rPr>
              <w:fldChar w:fldCharType="end"/>
            </w:r>
          </w:hyperlink>
        </w:p>
        <w:p w14:paraId="640AAD04" w14:textId="1F876965" w:rsidR="000F5104" w:rsidRDefault="00741DE0">
          <w:pPr>
            <w:pStyle w:val="TOC1"/>
            <w:rPr>
              <w:rFonts w:asciiTheme="minorHAnsi" w:eastAsiaTheme="minorEastAsia" w:hAnsiTheme="minorHAnsi"/>
              <w:color w:val="auto"/>
              <w:sz w:val="22"/>
            </w:rPr>
          </w:pPr>
          <w:hyperlink w:anchor="_Toc536209174" w:history="1">
            <w:r w:rsidR="000F5104" w:rsidRPr="008C15FB">
              <w:rPr>
                <w:rStyle w:val="Hyperlink"/>
              </w:rPr>
              <w:t>ATTACHMENT A. MAJOR MODELS USED IN THE IRP</w:t>
            </w:r>
            <w:r w:rsidR="000F5104">
              <w:rPr>
                <w:webHidden/>
              </w:rPr>
              <w:tab/>
              <w:t>A-</w:t>
            </w:r>
            <w:r w:rsidR="000F5104">
              <w:rPr>
                <w:webHidden/>
              </w:rPr>
              <w:fldChar w:fldCharType="begin"/>
            </w:r>
            <w:r w:rsidR="000F5104">
              <w:rPr>
                <w:webHidden/>
              </w:rPr>
              <w:instrText xml:space="preserve"> PAGEREF _Toc536209174 \h </w:instrText>
            </w:r>
            <w:r w:rsidR="000F5104">
              <w:rPr>
                <w:webHidden/>
              </w:rPr>
            </w:r>
            <w:r w:rsidR="000F5104">
              <w:rPr>
                <w:webHidden/>
              </w:rPr>
              <w:fldChar w:fldCharType="separate"/>
            </w:r>
            <w:r w:rsidR="000F5104">
              <w:rPr>
                <w:webHidden/>
              </w:rPr>
              <w:t>85</w:t>
            </w:r>
            <w:r w:rsidR="000F5104">
              <w:rPr>
                <w:webHidden/>
              </w:rPr>
              <w:fldChar w:fldCharType="end"/>
            </w:r>
          </w:hyperlink>
        </w:p>
        <w:p w14:paraId="089C4F71" w14:textId="2BE93752" w:rsidR="000F5104" w:rsidRDefault="00741DE0">
          <w:pPr>
            <w:pStyle w:val="TOC1"/>
            <w:rPr>
              <w:rFonts w:asciiTheme="minorHAnsi" w:eastAsiaTheme="minorEastAsia" w:hAnsiTheme="minorHAnsi"/>
              <w:color w:val="auto"/>
              <w:sz w:val="22"/>
            </w:rPr>
          </w:pPr>
          <w:hyperlink w:anchor="_Toc536209175" w:history="1">
            <w:r w:rsidR="000F5104" w:rsidRPr="008C15FB">
              <w:rPr>
                <w:rStyle w:val="Hyperlink"/>
              </w:rPr>
              <w:t>ATTACHMENT B. TECHNOLOGY SCREENING</w:t>
            </w:r>
            <w:r w:rsidR="000F5104">
              <w:rPr>
                <w:webHidden/>
              </w:rPr>
              <w:tab/>
              <w:t>B-</w:t>
            </w:r>
            <w:r w:rsidR="000F5104">
              <w:rPr>
                <w:webHidden/>
              </w:rPr>
              <w:fldChar w:fldCharType="begin"/>
            </w:r>
            <w:r w:rsidR="000F5104">
              <w:rPr>
                <w:webHidden/>
              </w:rPr>
              <w:instrText xml:space="preserve"> PAGEREF _Toc536209175 \h </w:instrText>
            </w:r>
            <w:r w:rsidR="000F5104">
              <w:rPr>
                <w:webHidden/>
              </w:rPr>
            </w:r>
            <w:r w:rsidR="000F5104">
              <w:rPr>
                <w:webHidden/>
              </w:rPr>
              <w:fldChar w:fldCharType="separate"/>
            </w:r>
            <w:r w:rsidR="000F5104">
              <w:rPr>
                <w:webHidden/>
              </w:rPr>
              <w:t>90</w:t>
            </w:r>
            <w:r w:rsidR="000F5104">
              <w:rPr>
                <w:webHidden/>
              </w:rPr>
              <w:fldChar w:fldCharType="end"/>
            </w:r>
          </w:hyperlink>
        </w:p>
        <w:p w14:paraId="6FA0657C" w14:textId="5F3597E6" w:rsidR="000F5104" w:rsidRDefault="00741DE0">
          <w:pPr>
            <w:pStyle w:val="TOC1"/>
            <w:rPr>
              <w:rFonts w:asciiTheme="minorHAnsi" w:eastAsiaTheme="minorEastAsia" w:hAnsiTheme="minorHAnsi"/>
              <w:color w:val="auto"/>
              <w:sz w:val="22"/>
            </w:rPr>
          </w:pPr>
          <w:hyperlink w:anchor="_Toc536209176" w:history="1">
            <w:r w:rsidR="000F5104" w:rsidRPr="008C15FB">
              <w:rPr>
                <w:rStyle w:val="Hyperlink"/>
              </w:rPr>
              <w:t>ATTACHMENT C. SUMMARY OF THE SYSTEM POOLING ARRANGEMENT</w:t>
            </w:r>
            <w:r w:rsidR="000F5104">
              <w:rPr>
                <w:webHidden/>
              </w:rPr>
              <w:tab/>
              <w:t>C-</w:t>
            </w:r>
            <w:r w:rsidR="000F5104">
              <w:rPr>
                <w:webHidden/>
              </w:rPr>
              <w:fldChar w:fldCharType="begin"/>
            </w:r>
            <w:r w:rsidR="000F5104">
              <w:rPr>
                <w:webHidden/>
              </w:rPr>
              <w:instrText xml:space="preserve"> PAGEREF _Toc536209176 \h </w:instrText>
            </w:r>
            <w:r w:rsidR="000F5104">
              <w:rPr>
                <w:webHidden/>
              </w:rPr>
            </w:r>
            <w:r w:rsidR="000F5104">
              <w:rPr>
                <w:webHidden/>
              </w:rPr>
              <w:fldChar w:fldCharType="separate"/>
            </w:r>
            <w:r w:rsidR="000F5104">
              <w:rPr>
                <w:webHidden/>
              </w:rPr>
              <w:t>110</w:t>
            </w:r>
            <w:r w:rsidR="000F5104">
              <w:rPr>
                <w:webHidden/>
              </w:rPr>
              <w:fldChar w:fldCharType="end"/>
            </w:r>
          </w:hyperlink>
        </w:p>
        <w:p w14:paraId="7762322A" w14:textId="00533D28" w:rsidR="000F5104" w:rsidRDefault="00741DE0">
          <w:pPr>
            <w:pStyle w:val="TOC1"/>
            <w:rPr>
              <w:rFonts w:asciiTheme="minorHAnsi" w:eastAsiaTheme="minorEastAsia" w:hAnsiTheme="minorHAnsi"/>
              <w:color w:val="auto"/>
              <w:sz w:val="22"/>
            </w:rPr>
          </w:pPr>
          <w:hyperlink w:anchor="_Toc536209177" w:history="1">
            <w:r w:rsidR="000F5104" w:rsidRPr="008C15FB">
              <w:rPr>
                <w:rStyle w:val="Hyperlink"/>
              </w:rPr>
              <w:t>ATTACHMENT D. APPLICATION FOR CERTIFICATION OF CAPACITY FROM PLANT SCHERER UNIT 3</w:t>
            </w:r>
            <w:r w:rsidR="000F5104">
              <w:rPr>
                <w:webHidden/>
              </w:rPr>
              <w:tab/>
              <w:t>D-</w:t>
            </w:r>
            <w:r w:rsidR="000F5104">
              <w:rPr>
                <w:webHidden/>
              </w:rPr>
              <w:fldChar w:fldCharType="begin"/>
            </w:r>
            <w:r w:rsidR="000F5104">
              <w:rPr>
                <w:webHidden/>
              </w:rPr>
              <w:instrText xml:space="preserve"> PAGEREF _Toc536209177 \h </w:instrText>
            </w:r>
            <w:r w:rsidR="000F5104">
              <w:rPr>
                <w:webHidden/>
              </w:rPr>
            </w:r>
            <w:r w:rsidR="000F5104">
              <w:rPr>
                <w:webHidden/>
              </w:rPr>
              <w:fldChar w:fldCharType="separate"/>
            </w:r>
            <w:r w:rsidR="000F5104">
              <w:rPr>
                <w:webHidden/>
              </w:rPr>
              <w:t>117</w:t>
            </w:r>
            <w:r w:rsidR="000F5104">
              <w:rPr>
                <w:webHidden/>
              </w:rPr>
              <w:fldChar w:fldCharType="end"/>
            </w:r>
          </w:hyperlink>
        </w:p>
        <w:p w14:paraId="0D2B79A9" w14:textId="6C7D11DE" w:rsidR="000F5104" w:rsidRDefault="00741DE0">
          <w:pPr>
            <w:pStyle w:val="TOC1"/>
            <w:rPr>
              <w:rFonts w:asciiTheme="minorHAnsi" w:eastAsiaTheme="minorEastAsia" w:hAnsiTheme="minorHAnsi"/>
              <w:color w:val="auto"/>
              <w:sz w:val="22"/>
            </w:rPr>
          </w:pPr>
          <w:hyperlink w:anchor="_Toc536209178" w:history="1">
            <w:r w:rsidR="000F5104" w:rsidRPr="008C15FB">
              <w:rPr>
                <w:rStyle w:val="Hyperlink"/>
              </w:rPr>
              <w:t>ATTACHMENT E. APPLICATION FOR CERTIFICATION OF CAPACITY UPGRADES AT PLANT GOAT ROCK UNITS 9-12</w:t>
            </w:r>
            <w:r w:rsidR="000F5104">
              <w:rPr>
                <w:webHidden/>
              </w:rPr>
              <w:tab/>
              <w:t>E-</w:t>
            </w:r>
            <w:r w:rsidR="000F5104">
              <w:rPr>
                <w:webHidden/>
              </w:rPr>
              <w:fldChar w:fldCharType="begin"/>
            </w:r>
            <w:r w:rsidR="000F5104">
              <w:rPr>
                <w:webHidden/>
              </w:rPr>
              <w:instrText xml:space="preserve"> PAGEREF _Toc536209178 \h </w:instrText>
            </w:r>
            <w:r w:rsidR="000F5104">
              <w:rPr>
                <w:webHidden/>
              </w:rPr>
            </w:r>
            <w:r w:rsidR="000F5104">
              <w:rPr>
                <w:webHidden/>
              </w:rPr>
              <w:fldChar w:fldCharType="separate"/>
            </w:r>
            <w:r w:rsidR="000F5104">
              <w:rPr>
                <w:webHidden/>
              </w:rPr>
              <w:t>121</w:t>
            </w:r>
            <w:r w:rsidR="000F5104">
              <w:rPr>
                <w:webHidden/>
              </w:rPr>
              <w:fldChar w:fldCharType="end"/>
            </w:r>
          </w:hyperlink>
        </w:p>
        <w:p w14:paraId="57E6FA5F" w14:textId="09D8E8AF" w:rsidR="000F5104" w:rsidRDefault="00741DE0">
          <w:pPr>
            <w:pStyle w:val="TOC1"/>
            <w:rPr>
              <w:rFonts w:asciiTheme="minorHAnsi" w:eastAsiaTheme="minorEastAsia" w:hAnsiTheme="minorHAnsi"/>
              <w:color w:val="auto"/>
              <w:sz w:val="22"/>
            </w:rPr>
          </w:pPr>
          <w:hyperlink w:anchor="_Toc536209179" w:history="1">
            <w:r w:rsidR="000F5104" w:rsidRPr="008C15FB">
              <w:rPr>
                <w:rStyle w:val="Hyperlink"/>
              </w:rPr>
              <w:t>ATTACHMENT F. APPLICATION FOR DECERTIFICATION OF PLANT HAMMOND UNITS 1-4, PLANT MCINTOSH UNIT 1, PLANT ESTATOAH UNIT 1, PLANT LANGDALE UNITS 5-6, AND PLANT RIVERVIEW UNITS 1-2</w:t>
            </w:r>
            <w:r w:rsidR="000F5104">
              <w:rPr>
                <w:webHidden/>
              </w:rPr>
              <w:tab/>
              <w:t>F-</w:t>
            </w:r>
            <w:r w:rsidR="000F5104">
              <w:rPr>
                <w:webHidden/>
              </w:rPr>
              <w:fldChar w:fldCharType="begin"/>
            </w:r>
            <w:r w:rsidR="000F5104">
              <w:rPr>
                <w:webHidden/>
              </w:rPr>
              <w:instrText xml:space="preserve"> PAGEREF _Toc536209179 \h </w:instrText>
            </w:r>
            <w:r w:rsidR="000F5104">
              <w:rPr>
                <w:webHidden/>
              </w:rPr>
            </w:r>
            <w:r w:rsidR="000F5104">
              <w:rPr>
                <w:webHidden/>
              </w:rPr>
              <w:fldChar w:fldCharType="separate"/>
            </w:r>
            <w:r w:rsidR="000F5104">
              <w:rPr>
                <w:webHidden/>
              </w:rPr>
              <w:t>125</w:t>
            </w:r>
            <w:r w:rsidR="000F5104">
              <w:rPr>
                <w:webHidden/>
              </w:rPr>
              <w:fldChar w:fldCharType="end"/>
            </w:r>
          </w:hyperlink>
        </w:p>
        <w:p w14:paraId="531FEE45" w14:textId="35C62798" w:rsidR="000F5104" w:rsidRDefault="00741DE0">
          <w:pPr>
            <w:pStyle w:val="TOC1"/>
            <w:rPr>
              <w:rFonts w:asciiTheme="minorHAnsi" w:eastAsiaTheme="minorEastAsia" w:hAnsiTheme="minorHAnsi"/>
              <w:color w:val="auto"/>
              <w:sz w:val="22"/>
            </w:rPr>
          </w:pPr>
          <w:hyperlink w:anchor="_Toc536209180" w:history="1">
            <w:r w:rsidR="000F5104" w:rsidRPr="008C15FB">
              <w:rPr>
                <w:rStyle w:val="Hyperlink"/>
              </w:rPr>
              <w:t>ATTACHMENT G. STEWART COUNTY STATUS REPORT</w:t>
            </w:r>
            <w:r w:rsidR="000F5104">
              <w:rPr>
                <w:webHidden/>
              </w:rPr>
              <w:tab/>
              <w:t>G-</w:t>
            </w:r>
            <w:r w:rsidR="000F5104">
              <w:rPr>
                <w:webHidden/>
              </w:rPr>
              <w:fldChar w:fldCharType="begin"/>
            </w:r>
            <w:r w:rsidR="000F5104">
              <w:rPr>
                <w:webHidden/>
              </w:rPr>
              <w:instrText xml:space="preserve"> PAGEREF _Toc536209180 \h </w:instrText>
            </w:r>
            <w:r w:rsidR="000F5104">
              <w:rPr>
                <w:webHidden/>
              </w:rPr>
            </w:r>
            <w:r w:rsidR="000F5104">
              <w:rPr>
                <w:webHidden/>
              </w:rPr>
              <w:fldChar w:fldCharType="separate"/>
            </w:r>
            <w:r w:rsidR="000F5104">
              <w:rPr>
                <w:webHidden/>
              </w:rPr>
              <w:t>128</w:t>
            </w:r>
            <w:r w:rsidR="000F5104">
              <w:rPr>
                <w:webHidden/>
              </w:rPr>
              <w:fldChar w:fldCharType="end"/>
            </w:r>
          </w:hyperlink>
        </w:p>
        <w:p w14:paraId="0B04AC27" w14:textId="5C351968" w:rsidR="000F5104" w:rsidRDefault="00741DE0">
          <w:pPr>
            <w:pStyle w:val="TOC1"/>
            <w:rPr>
              <w:rFonts w:asciiTheme="minorHAnsi" w:eastAsiaTheme="minorEastAsia" w:hAnsiTheme="minorHAnsi"/>
              <w:color w:val="auto"/>
              <w:sz w:val="22"/>
            </w:rPr>
          </w:pPr>
          <w:hyperlink w:anchor="_Toc536209181" w:history="1">
            <w:r w:rsidR="000F5104" w:rsidRPr="008C15FB">
              <w:rPr>
                <w:rStyle w:val="Hyperlink"/>
              </w:rPr>
              <w:t>ATTACHMENT H. RESEARCH ACTIVITIES</w:t>
            </w:r>
            <w:r w:rsidR="000F5104">
              <w:rPr>
                <w:webHidden/>
              </w:rPr>
              <w:tab/>
              <w:t>H-</w:t>
            </w:r>
            <w:r w:rsidR="000F5104">
              <w:rPr>
                <w:webHidden/>
              </w:rPr>
              <w:fldChar w:fldCharType="begin"/>
            </w:r>
            <w:r w:rsidR="000F5104">
              <w:rPr>
                <w:webHidden/>
              </w:rPr>
              <w:instrText xml:space="preserve"> PAGEREF _Toc536209181 \h </w:instrText>
            </w:r>
            <w:r w:rsidR="000F5104">
              <w:rPr>
                <w:webHidden/>
              </w:rPr>
            </w:r>
            <w:r w:rsidR="000F5104">
              <w:rPr>
                <w:webHidden/>
              </w:rPr>
              <w:fldChar w:fldCharType="separate"/>
            </w:r>
            <w:r w:rsidR="000F5104">
              <w:rPr>
                <w:webHidden/>
              </w:rPr>
              <w:t>131</w:t>
            </w:r>
            <w:r w:rsidR="000F5104">
              <w:rPr>
                <w:webHidden/>
              </w:rPr>
              <w:fldChar w:fldCharType="end"/>
            </w:r>
          </w:hyperlink>
        </w:p>
        <w:p w14:paraId="4D4D1AE6" w14:textId="6E352CA1" w:rsidR="000F5104" w:rsidRDefault="00741DE0">
          <w:pPr>
            <w:pStyle w:val="TOC1"/>
            <w:rPr>
              <w:rFonts w:asciiTheme="minorHAnsi" w:eastAsiaTheme="minorEastAsia" w:hAnsiTheme="minorHAnsi"/>
              <w:color w:val="auto"/>
              <w:sz w:val="22"/>
            </w:rPr>
          </w:pPr>
          <w:hyperlink w:anchor="_Toc536209182" w:history="1">
            <w:r w:rsidR="000F5104" w:rsidRPr="008C15FB">
              <w:rPr>
                <w:rStyle w:val="Hyperlink"/>
              </w:rPr>
              <w:t>ATTACHMENT I. ACRONYMS, ABBREVIATIONS, AND TERMINOLOGY</w:t>
            </w:r>
            <w:r w:rsidR="000F5104">
              <w:rPr>
                <w:webHidden/>
              </w:rPr>
              <w:tab/>
              <w:t>I-</w:t>
            </w:r>
            <w:r w:rsidR="000F5104">
              <w:rPr>
                <w:webHidden/>
              </w:rPr>
              <w:fldChar w:fldCharType="begin"/>
            </w:r>
            <w:r w:rsidR="000F5104">
              <w:rPr>
                <w:webHidden/>
              </w:rPr>
              <w:instrText xml:space="preserve"> PAGEREF _Toc536209182 \h </w:instrText>
            </w:r>
            <w:r w:rsidR="000F5104">
              <w:rPr>
                <w:webHidden/>
              </w:rPr>
            </w:r>
            <w:r w:rsidR="000F5104">
              <w:rPr>
                <w:webHidden/>
              </w:rPr>
              <w:fldChar w:fldCharType="separate"/>
            </w:r>
            <w:r w:rsidR="000F5104">
              <w:rPr>
                <w:webHidden/>
              </w:rPr>
              <w:t>143</w:t>
            </w:r>
            <w:r w:rsidR="000F5104">
              <w:rPr>
                <w:webHidden/>
              </w:rPr>
              <w:fldChar w:fldCharType="end"/>
            </w:r>
          </w:hyperlink>
        </w:p>
        <w:p w14:paraId="04FE4C8D" w14:textId="4F9B6606" w:rsidR="00535FFB" w:rsidRDefault="00D93ECD" w:rsidP="000B19A8">
          <w:pPr>
            <w:spacing w:after="0"/>
          </w:pPr>
          <w:r>
            <w:rPr>
              <w:noProof/>
              <w:color w:val="005D8A" w:themeColor="accent2" w:themeShade="BF"/>
              <w:sz w:val="24"/>
            </w:rPr>
            <w:fldChar w:fldCharType="end"/>
          </w:r>
        </w:p>
      </w:sdtContent>
    </w:sdt>
    <w:p w14:paraId="714BA74D" w14:textId="77777777" w:rsidR="00DF289C" w:rsidRDefault="00DF289C">
      <w:pPr>
        <w:spacing w:after="160" w:line="259" w:lineRule="auto"/>
      </w:pPr>
      <w:r>
        <w:br w:type="page"/>
      </w:r>
    </w:p>
    <w:p w14:paraId="2E29BB14" w14:textId="1360FA52" w:rsidR="00DF289C" w:rsidRPr="000A072C" w:rsidRDefault="00DF289C" w:rsidP="000A072C">
      <w:pPr>
        <w:pStyle w:val="Title"/>
        <w:rPr>
          <w:rStyle w:val="BookTitle"/>
          <w:rFonts w:asciiTheme="majorHAnsi" w:hAnsiTheme="majorHAnsi"/>
          <w:b w:val="0"/>
          <w:bCs w:val="0"/>
          <w:i w:val="0"/>
          <w:iCs w:val="0"/>
          <w:spacing w:val="10"/>
        </w:rPr>
      </w:pPr>
      <w:r w:rsidRPr="000A072C">
        <w:rPr>
          <w:rStyle w:val="BookTitle"/>
          <w:rFonts w:asciiTheme="majorHAnsi" w:hAnsiTheme="majorHAnsi"/>
          <w:b w:val="0"/>
          <w:bCs w:val="0"/>
          <w:i w:val="0"/>
          <w:iCs w:val="0"/>
          <w:spacing w:val="10"/>
        </w:rPr>
        <w:lastRenderedPageBreak/>
        <w:t>2019 INTEGRATED RESOURCE PLAN</w:t>
      </w:r>
    </w:p>
    <w:p w14:paraId="5DD603EF" w14:textId="0A6FD018" w:rsidR="00DF289C" w:rsidRPr="000A072C" w:rsidRDefault="00DF289C" w:rsidP="000A072C">
      <w:pPr>
        <w:pStyle w:val="Title"/>
        <w:rPr>
          <w:rStyle w:val="BookTitle"/>
          <w:rFonts w:asciiTheme="majorHAnsi" w:hAnsiTheme="majorHAnsi"/>
          <w:b w:val="0"/>
          <w:bCs w:val="0"/>
          <w:i w:val="0"/>
          <w:iCs w:val="0"/>
          <w:spacing w:val="10"/>
        </w:rPr>
      </w:pPr>
      <w:r w:rsidRPr="000A072C">
        <w:rPr>
          <w:rStyle w:val="BookTitle"/>
          <w:rFonts w:asciiTheme="majorHAnsi" w:hAnsiTheme="majorHAnsi"/>
          <w:b w:val="0"/>
          <w:bCs w:val="0"/>
          <w:i w:val="0"/>
          <w:iCs w:val="0"/>
          <w:spacing w:val="10"/>
        </w:rPr>
        <w:t>TECHNICAL APPENDICES INDEX</w:t>
      </w:r>
    </w:p>
    <w:p w14:paraId="7B8A726B" w14:textId="09547FE4" w:rsidR="00DF289C" w:rsidRPr="0058673F" w:rsidRDefault="00DF289C" w:rsidP="0058673F">
      <w:pPr>
        <w:rPr>
          <w:rStyle w:val="BookTitle"/>
          <w:b w:val="0"/>
          <w:i w:val="0"/>
          <w:color w:val="auto"/>
          <w:spacing w:val="10"/>
          <w:szCs w:val="32"/>
        </w:rPr>
      </w:pPr>
    </w:p>
    <w:p w14:paraId="26711C84" w14:textId="77777777" w:rsidR="00DF289C" w:rsidRPr="00E8237B" w:rsidRDefault="00DF289C" w:rsidP="00E8237B">
      <w:pPr>
        <w:rPr>
          <w:rFonts w:asciiTheme="majorHAnsi" w:hAnsiTheme="majorHAnsi" w:cstheme="majorHAnsi"/>
          <w:b/>
        </w:rPr>
      </w:pPr>
      <w:r w:rsidRPr="00E8237B">
        <w:rPr>
          <w:rFonts w:asciiTheme="majorHAnsi" w:hAnsiTheme="majorHAnsi" w:cstheme="majorHAnsi"/>
          <w:b/>
        </w:rPr>
        <w:t>Technical Appendix Volume 1</w:t>
      </w:r>
    </w:p>
    <w:p w14:paraId="1B249C90" w14:textId="49668ECB" w:rsidR="00F04646" w:rsidRDefault="00F04646" w:rsidP="00807D97">
      <w:pPr>
        <w:pStyle w:val="NoSpacing"/>
      </w:pPr>
      <w:r>
        <w:t>RESERVE MARGIN STUDY</w:t>
      </w:r>
    </w:p>
    <w:p w14:paraId="356D6FEB" w14:textId="04DE08C9" w:rsidR="00535320" w:rsidRDefault="00535320" w:rsidP="00807D97">
      <w:pPr>
        <w:pStyle w:val="NoSpacing"/>
      </w:pPr>
      <w:r>
        <w:t>BUD</w:t>
      </w:r>
      <w:r w:rsidR="0058673F">
        <w:t xml:space="preserve">GET 2019 </w:t>
      </w:r>
      <w:r w:rsidR="008A57FA">
        <w:t>LOAD</w:t>
      </w:r>
      <w:r w:rsidR="00C33C80">
        <w:t xml:space="preserve"> </w:t>
      </w:r>
      <w:r w:rsidR="008922CA">
        <w:t>AND</w:t>
      </w:r>
      <w:r w:rsidR="0058673F">
        <w:t xml:space="preserve"> ENERGY FORECAST</w:t>
      </w:r>
      <w:r w:rsidR="00083A3E">
        <w:t>S</w:t>
      </w:r>
    </w:p>
    <w:p w14:paraId="44555100" w14:textId="2AC7D658" w:rsidR="00535320" w:rsidRDefault="00535320" w:rsidP="00807D97">
      <w:pPr>
        <w:pStyle w:val="NoSpacing"/>
      </w:pPr>
      <w:r>
        <w:t>SCENARIO FUEL FORECAST</w:t>
      </w:r>
    </w:p>
    <w:p w14:paraId="5091CE3B" w14:textId="29247B36" w:rsidR="00DF289C" w:rsidRDefault="00535320" w:rsidP="00807D97">
      <w:pPr>
        <w:pStyle w:val="NoSpacing"/>
      </w:pPr>
      <w:r>
        <w:t>GENERATION TECHNOLOGY DATA BOOK</w:t>
      </w:r>
    </w:p>
    <w:p w14:paraId="779791EB" w14:textId="79D67178" w:rsidR="0056481A" w:rsidRDefault="0058673F" w:rsidP="00807D97">
      <w:pPr>
        <w:pStyle w:val="NoSpacing"/>
      </w:pPr>
      <w:r>
        <w:t>SELECTED SUPPORTING INFORMATION</w:t>
      </w:r>
    </w:p>
    <w:p w14:paraId="32CC02BA" w14:textId="77777777" w:rsidR="00807D97" w:rsidRDefault="00807D97" w:rsidP="00807D97">
      <w:pPr>
        <w:pStyle w:val="NoSpacing"/>
      </w:pPr>
    </w:p>
    <w:p w14:paraId="5D7A9C78" w14:textId="77777777" w:rsidR="00DF289C" w:rsidRPr="00E8237B" w:rsidRDefault="00DF289C" w:rsidP="00E8237B">
      <w:pPr>
        <w:rPr>
          <w:rFonts w:asciiTheme="majorHAnsi" w:hAnsiTheme="majorHAnsi" w:cstheme="majorHAnsi"/>
          <w:b/>
        </w:rPr>
      </w:pPr>
      <w:r w:rsidRPr="00E8237B">
        <w:rPr>
          <w:rFonts w:asciiTheme="majorHAnsi" w:hAnsiTheme="majorHAnsi" w:cstheme="majorHAnsi"/>
          <w:b/>
        </w:rPr>
        <w:t>Technical Appendix Volume 2</w:t>
      </w:r>
    </w:p>
    <w:p w14:paraId="02C05E86" w14:textId="3B69802D" w:rsidR="007015E5" w:rsidRDefault="007015E5" w:rsidP="002C07A1">
      <w:pPr>
        <w:pStyle w:val="NoSpacing"/>
      </w:pPr>
      <w:r>
        <w:t>2019 IRP PLAN</w:t>
      </w:r>
      <w:r w:rsidR="007D11B4">
        <w:t xml:space="preserve"> AND REFERENCE TABLES</w:t>
      </w:r>
    </w:p>
    <w:p w14:paraId="2A743D3E" w14:textId="58AD130A" w:rsidR="002C07A1" w:rsidRDefault="002C07A1" w:rsidP="002C07A1">
      <w:pPr>
        <w:pStyle w:val="NoSpacing"/>
      </w:pPr>
      <w:r>
        <w:t>DSM PROGRAM DOCUMENTATION</w:t>
      </w:r>
    </w:p>
    <w:p w14:paraId="6A6D75F7" w14:textId="5EA583BD" w:rsidR="0056481A" w:rsidRDefault="007015E5" w:rsidP="00807D97">
      <w:pPr>
        <w:pStyle w:val="NoSpacing"/>
      </w:pPr>
      <w:r>
        <w:t xml:space="preserve">RESOURCE </w:t>
      </w:r>
      <w:r w:rsidR="0056481A">
        <w:t>MIX STUDY</w:t>
      </w:r>
    </w:p>
    <w:p w14:paraId="16414EAE" w14:textId="77777777" w:rsidR="00E95598" w:rsidRDefault="00E95598" w:rsidP="00807D97">
      <w:pPr>
        <w:pStyle w:val="NoSpacing"/>
      </w:pPr>
      <w:r>
        <w:t>FINANCIAL REVIEW</w:t>
      </w:r>
    </w:p>
    <w:p w14:paraId="55AA11F7" w14:textId="4E4D3060" w:rsidR="002C07A1" w:rsidRDefault="002C07A1" w:rsidP="002C07A1">
      <w:pPr>
        <w:pStyle w:val="NoSpacing"/>
      </w:pPr>
      <w:r>
        <w:t>UNIT RETIREMENT STUD</w:t>
      </w:r>
      <w:r w:rsidR="000574E7">
        <w:t>Y</w:t>
      </w:r>
    </w:p>
    <w:p w14:paraId="173BCFD3" w14:textId="43C5DC7D" w:rsidR="00CB3ECB" w:rsidRDefault="00CB3ECB" w:rsidP="00CB3ECB">
      <w:pPr>
        <w:pStyle w:val="NoSpacing"/>
      </w:pPr>
      <w:r>
        <w:t>ENVIRONMENTAL COMPLIANCE STRATEGY</w:t>
      </w:r>
    </w:p>
    <w:p w14:paraId="5F4EAC24" w14:textId="77777777" w:rsidR="002C07A1" w:rsidRDefault="002C07A1" w:rsidP="002C07A1">
      <w:pPr>
        <w:pStyle w:val="NoSpacing"/>
      </w:pPr>
      <w:r>
        <w:t>RENEWABLE COST BENEFIT FRAMEWORK</w:t>
      </w:r>
    </w:p>
    <w:p w14:paraId="02784FA6" w14:textId="77777777" w:rsidR="00807D97" w:rsidRDefault="00807D97" w:rsidP="00807D97">
      <w:pPr>
        <w:pStyle w:val="NoSpacing"/>
      </w:pPr>
    </w:p>
    <w:p w14:paraId="31ECB755" w14:textId="781CCD00" w:rsidR="00DF289C" w:rsidRPr="00E8237B" w:rsidRDefault="00DF289C" w:rsidP="00E8237B">
      <w:pPr>
        <w:rPr>
          <w:rFonts w:asciiTheme="majorHAnsi" w:hAnsiTheme="majorHAnsi" w:cstheme="majorHAnsi"/>
          <w:b/>
        </w:rPr>
      </w:pPr>
      <w:r w:rsidRPr="00E8237B">
        <w:rPr>
          <w:rFonts w:asciiTheme="majorHAnsi" w:hAnsiTheme="majorHAnsi" w:cstheme="majorHAnsi"/>
          <w:b/>
        </w:rPr>
        <w:t>Tec</w:t>
      </w:r>
      <w:r w:rsidR="00DF4249" w:rsidRPr="00E8237B">
        <w:rPr>
          <w:rFonts w:asciiTheme="majorHAnsi" w:hAnsiTheme="majorHAnsi" w:cstheme="majorHAnsi"/>
          <w:b/>
        </w:rPr>
        <w:t>hnical Appendix Volume 3</w:t>
      </w:r>
    </w:p>
    <w:p w14:paraId="5DE3DE54" w14:textId="5C943AF1" w:rsidR="00DF4249" w:rsidRDefault="00DF4249" w:rsidP="00807D97">
      <w:pPr>
        <w:pStyle w:val="NoSpacing"/>
      </w:pPr>
      <w:r>
        <w:t>TRANSMISSION PLANNING</w:t>
      </w:r>
    </w:p>
    <w:p w14:paraId="79CD0D8A" w14:textId="2D8FD5C5" w:rsidR="00807D97" w:rsidRDefault="00807D97">
      <w:pPr>
        <w:spacing w:after="160" w:line="259" w:lineRule="auto"/>
        <w:jc w:val="left"/>
      </w:pPr>
      <w:r>
        <w:br w:type="page"/>
      </w:r>
    </w:p>
    <w:p w14:paraId="5C852D54" w14:textId="77777777" w:rsidR="00A63672" w:rsidRDefault="00A63672" w:rsidP="00A7180F">
      <w:pPr>
        <w:pStyle w:val="Heading1"/>
        <w:sectPr w:rsidR="00A63672" w:rsidSect="00E82DC7">
          <w:footerReference w:type="default" r:id="rId10"/>
          <w:footerReference w:type="first" r:id="rId11"/>
          <w:type w:val="continuous"/>
          <w:pgSz w:w="12240" w:h="15840"/>
          <w:pgMar w:top="1440" w:right="1440" w:bottom="1440" w:left="1440" w:header="720" w:footer="432" w:gutter="0"/>
          <w:pgNumType w:fmt="lowerRoman" w:start="1"/>
          <w:cols w:space="720"/>
          <w:docGrid w:linePitch="360"/>
        </w:sectPr>
      </w:pPr>
      <w:bookmarkStart w:id="1" w:name="_Ref533084860"/>
      <w:bookmarkStart w:id="2" w:name="_Ref531676253"/>
    </w:p>
    <w:p w14:paraId="2DBC6040" w14:textId="4ECBFD7E" w:rsidR="00257F17" w:rsidRDefault="004F7248" w:rsidP="00A7180F">
      <w:pPr>
        <w:pStyle w:val="Heading1"/>
      </w:pPr>
      <w:bookmarkStart w:id="3" w:name="_Ref533163091"/>
      <w:bookmarkStart w:id="4" w:name="_Ref533163242"/>
      <w:bookmarkStart w:id="5" w:name="_Toc536209108"/>
      <w:bookmarkEnd w:id="1"/>
      <w:r>
        <w:t>EXECUTIVE SUMMARY</w:t>
      </w:r>
      <w:bookmarkEnd w:id="2"/>
      <w:bookmarkEnd w:id="3"/>
      <w:bookmarkEnd w:id="4"/>
      <w:bookmarkEnd w:id="5"/>
    </w:p>
    <w:p w14:paraId="2630E407" w14:textId="69875778" w:rsidR="00304629" w:rsidRDefault="00304629" w:rsidP="00304629">
      <w:r>
        <w:t>This 2019 Integrated Resource Plan (“2019 IRP” or “IRP”) is filed in compliance with O.C.G.A. § 46-3A-2, which requires the filing of such a plan every three years. Specifically, this 2019 IRP “demonstrates the economic, environmental, and other benefits to the state and to customers of the utility</w:t>
      </w:r>
      <w:r w:rsidR="00A75752">
        <w:t>,</w:t>
      </w:r>
      <w:r>
        <w:t xml:space="preserve"> associated with” improvements in energy efficiency, alternative sources of energy, cogeneration a</w:t>
      </w:r>
      <w:r w:rsidR="00B235E4">
        <w:t>nd hydro</w:t>
      </w:r>
      <w:r w:rsidR="002B6402">
        <w:t>electric (“hydro”)</w:t>
      </w:r>
      <w:r w:rsidR="00B235E4">
        <w:t xml:space="preserve"> facilities, and demand-</w:t>
      </w:r>
      <w:r>
        <w:t xml:space="preserve">side options </w:t>
      </w:r>
      <w:r w:rsidR="002B6402">
        <w:t xml:space="preserve">(“DSOs”) </w:t>
      </w:r>
      <w:r>
        <w:t xml:space="preserve">all as required by </w:t>
      </w:r>
      <w:bookmarkStart w:id="6" w:name="_Hlk534284230"/>
      <w:r>
        <w:t>O.C.G.A. § 46-3A-2(b)(3)</w:t>
      </w:r>
      <w:bookmarkEnd w:id="6"/>
      <w:r>
        <w:t>.</w:t>
      </w:r>
    </w:p>
    <w:p w14:paraId="6D65458E" w14:textId="45CEBC7D" w:rsidR="00670D18" w:rsidRDefault="00670D18" w:rsidP="00670D18">
      <w:r>
        <w:t>As shown i</w:t>
      </w:r>
      <w:r w:rsidR="002035B2">
        <w:t xml:space="preserve">n this 2019 IRP, </w:t>
      </w:r>
      <w:r>
        <w:t xml:space="preserve">Georgia Power </w:t>
      </w:r>
      <w:r w:rsidR="002035B2">
        <w:t xml:space="preserve">Company </w:t>
      </w:r>
      <w:r>
        <w:t xml:space="preserve">(“Georgia Power” or the “Company”) continues to navigate the evolving energy landscape, taking proactive steps to </w:t>
      </w:r>
      <w:r w:rsidR="0062050E">
        <w:t xml:space="preserve">capitalize </w:t>
      </w:r>
      <w:r w:rsidR="00475610">
        <w:t xml:space="preserve">on </w:t>
      </w:r>
      <w:r>
        <w:t xml:space="preserve">current market conditions while also allowing the Company the ability to respond to several possible future conditions, for the benefit of customers. While working closely with the Georgia Public Service Commission (“Commission”), the Company’s experience </w:t>
      </w:r>
      <w:r w:rsidR="00944F37">
        <w:t xml:space="preserve">shows </w:t>
      </w:r>
      <w:r>
        <w:t xml:space="preserve">that system planning that maintains a diverse generation fleet, robust transmission system, and a </w:t>
      </w:r>
      <w:r w:rsidR="00153EF7">
        <w:t xml:space="preserve">continued </w:t>
      </w:r>
      <w:r>
        <w:t xml:space="preserve">focus on energy efficiency has </w:t>
      </w:r>
      <w:r w:rsidR="004C597A">
        <w:t xml:space="preserve">produced </w:t>
      </w:r>
      <w:r w:rsidR="00650D4C">
        <w:t xml:space="preserve">customer rates </w:t>
      </w:r>
      <w:r w:rsidR="004C597A">
        <w:t xml:space="preserve">that </w:t>
      </w:r>
      <w:r>
        <w:t xml:space="preserve">remain well below the national average </w:t>
      </w:r>
      <w:r w:rsidR="004775FE">
        <w:t>while</w:t>
      </w:r>
      <w:r>
        <w:t xml:space="preserve"> customer satisfaction </w:t>
      </w:r>
      <w:r w:rsidR="004775FE">
        <w:t xml:space="preserve">remains </w:t>
      </w:r>
      <w:r>
        <w:t>at the top of the industry.</w:t>
      </w:r>
    </w:p>
    <w:p w14:paraId="146275C3" w14:textId="43994F80" w:rsidR="0087329A" w:rsidRPr="00026F82" w:rsidRDefault="00650D4C" w:rsidP="0087329A">
      <w:r>
        <w:t xml:space="preserve">The 2019 IRP was developed with this experience in mind and </w:t>
      </w:r>
      <w:r w:rsidR="00670D18">
        <w:t xml:space="preserve">using </w:t>
      </w:r>
      <w:r w:rsidR="002035B2">
        <w:t xml:space="preserve">the Company’s </w:t>
      </w:r>
      <w:r w:rsidR="00153EF7">
        <w:t xml:space="preserve">comprehensive </w:t>
      </w:r>
      <w:r w:rsidR="002035B2">
        <w:t>planning process</w:t>
      </w:r>
      <w:r w:rsidR="00153EF7">
        <w:t xml:space="preserve">, which </w:t>
      </w:r>
      <w:r w:rsidR="00670D18">
        <w:t xml:space="preserve">results in </w:t>
      </w:r>
      <w:r w:rsidR="002035B2">
        <w:t xml:space="preserve">a plan </w:t>
      </w:r>
      <w:r w:rsidR="00996E75">
        <w:t>through which the Company will continue</w:t>
      </w:r>
      <w:r w:rsidR="002035B2">
        <w:t xml:space="preserve"> to provide </w:t>
      </w:r>
      <w:r>
        <w:t xml:space="preserve">customers with </w:t>
      </w:r>
      <w:r w:rsidR="002035B2">
        <w:t xml:space="preserve">reliable </w:t>
      </w:r>
      <w:r w:rsidR="0087329A">
        <w:t xml:space="preserve">and </w:t>
      </w:r>
      <w:r w:rsidR="00295C60">
        <w:t xml:space="preserve">affordable </w:t>
      </w:r>
      <w:r w:rsidR="002035B2">
        <w:t xml:space="preserve">electric service from a </w:t>
      </w:r>
      <w:r w:rsidR="00A23A4E">
        <w:t xml:space="preserve">diverse </w:t>
      </w:r>
      <w:r w:rsidR="002035B2">
        <w:t xml:space="preserve">portfolio of </w:t>
      </w:r>
      <w:r w:rsidR="00643CE8">
        <w:t>demand</w:t>
      </w:r>
      <w:r w:rsidR="002035B2">
        <w:t>-</w:t>
      </w:r>
      <w:r w:rsidR="00485D4A">
        <w:t>side</w:t>
      </w:r>
      <w:r w:rsidR="002035B2">
        <w:t xml:space="preserve"> and </w:t>
      </w:r>
      <w:r w:rsidR="00643CE8">
        <w:t>supply</w:t>
      </w:r>
      <w:r w:rsidR="002035B2">
        <w:t>-side resources.</w:t>
      </w:r>
      <w:r w:rsidR="000E64A3">
        <w:t xml:space="preserve"> This </w:t>
      </w:r>
      <w:r w:rsidR="0087329A">
        <w:t>portfolio</w:t>
      </w:r>
      <w:r w:rsidR="00D272FC">
        <w:t xml:space="preserve"> – </w:t>
      </w:r>
      <w:r w:rsidR="0087329A">
        <w:t>comprised of demand response, energy efficiency, nuclear, natural gas, oil, coal, hydro, solar, wind,</w:t>
      </w:r>
      <w:r w:rsidR="00056C55">
        <w:t xml:space="preserve"> landfill gas,</w:t>
      </w:r>
      <w:r w:rsidR="0087329A">
        <w:t xml:space="preserve"> and biomass generation</w:t>
      </w:r>
      <w:r w:rsidR="00D272FC">
        <w:t xml:space="preserve"> – p</w:t>
      </w:r>
      <w:r w:rsidR="0087329A">
        <w:t xml:space="preserve">rovides significant benefit to customers and </w:t>
      </w:r>
      <w:r w:rsidR="00670D18" w:rsidRPr="00026F82">
        <w:t>maximize</w:t>
      </w:r>
      <w:r w:rsidR="00670D18">
        <w:t>s</w:t>
      </w:r>
      <w:r w:rsidR="00670D18" w:rsidRPr="00026F82">
        <w:t xml:space="preserve"> </w:t>
      </w:r>
      <w:r w:rsidR="0087329A" w:rsidRPr="00026F82">
        <w:t>value for customers in a wide variety of future economic and regulatory scenarios.</w:t>
      </w:r>
    </w:p>
    <w:p w14:paraId="3D2D6DD0" w14:textId="5CA54512" w:rsidR="006C166A" w:rsidRPr="00026F82" w:rsidRDefault="006C166A" w:rsidP="00807D97">
      <w:r w:rsidRPr="00026F82">
        <w:t xml:space="preserve">Notably, this IRP reflects the </w:t>
      </w:r>
      <w:r w:rsidR="005D377B">
        <w:t xml:space="preserve">ongoing </w:t>
      </w:r>
      <w:r>
        <w:t>evolution</w:t>
      </w:r>
      <w:r w:rsidRPr="00026F82">
        <w:t xml:space="preserve"> of </w:t>
      </w:r>
      <w:r>
        <w:t xml:space="preserve">the Company’s </w:t>
      </w:r>
      <w:r w:rsidR="005D377B">
        <w:t xml:space="preserve">planning strategy </w:t>
      </w:r>
      <w:r w:rsidRPr="00026F82">
        <w:t xml:space="preserve">through </w:t>
      </w:r>
      <w:r>
        <w:t xml:space="preserve">the </w:t>
      </w:r>
      <w:r w:rsidRPr="00026F82">
        <w:t xml:space="preserve">procurement of </w:t>
      </w:r>
      <w:r w:rsidR="00EC272F">
        <w:t xml:space="preserve">energy from </w:t>
      </w:r>
      <w:r>
        <w:t xml:space="preserve">an additional </w:t>
      </w:r>
      <w:r w:rsidRPr="00026F82">
        <w:t>1,000 MW of renewable resources, continued implementation of</w:t>
      </w:r>
      <w:r>
        <w:t xml:space="preserve"> </w:t>
      </w:r>
      <w:r w:rsidRPr="00026F82">
        <w:t xml:space="preserve">demand-side programs, retirement of aging </w:t>
      </w:r>
      <w:r>
        <w:t>and economically challenged</w:t>
      </w:r>
      <w:r w:rsidRPr="00026F82">
        <w:t xml:space="preserve"> plants, </w:t>
      </w:r>
      <w:r w:rsidR="00651DD6">
        <w:t xml:space="preserve">compliance with environmental requirements, </w:t>
      </w:r>
      <w:r w:rsidRPr="00026F82">
        <w:t xml:space="preserve">and deployment of </w:t>
      </w:r>
      <w:r w:rsidR="00056C55">
        <w:t xml:space="preserve">battery </w:t>
      </w:r>
      <w:r w:rsidR="00650D4C">
        <w:t xml:space="preserve">energy </w:t>
      </w:r>
      <w:r w:rsidRPr="00026F82">
        <w:t xml:space="preserve">storage technologies. </w:t>
      </w:r>
      <w:r>
        <w:t>By implementing each of these actions, continuing</w:t>
      </w:r>
      <w:r w:rsidR="00153EF7">
        <w:t xml:space="preserve"> </w:t>
      </w:r>
      <w:r>
        <w:t xml:space="preserve">the construction and testing of </w:t>
      </w:r>
      <w:r w:rsidR="005D377B">
        <w:t xml:space="preserve">Plant </w:t>
      </w:r>
      <w:r w:rsidRPr="00026F82">
        <w:t xml:space="preserve">Vogtle Units 3-4, and </w:t>
      </w:r>
      <w:r>
        <w:t xml:space="preserve">investing in the </w:t>
      </w:r>
      <w:r w:rsidR="005D377B">
        <w:t>long-term</w:t>
      </w:r>
      <w:r w:rsidRPr="00026F82">
        <w:t xml:space="preserve"> future </w:t>
      </w:r>
      <w:r>
        <w:t xml:space="preserve">of </w:t>
      </w:r>
      <w:r w:rsidRPr="00026F82">
        <w:t>hydro operation</w:t>
      </w:r>
      <w:r>
        <w:t>s,</w:t>
      </w:r>
      <w:r w:rsidRPr="00026F82">
        <w:t xml:space="preserve"> the Company </w:t>
      </w:r>
      <w:r>
        <w:t>is</w:t>
      </w:r>
      <w:r w:rsidRPr="00026F82">
        <w:t xml:space="preserve"> tak</w:t>
      </w:r>
      <w:r>
        <w:t>ing</w:t>
      </w:r>
      <w:r w:rsidRPr="00026F82">
        <w:t xml:space="preserve"> steps to ensure that its system will </w:t>
      </w:r>
      <w:r>
        <w:t xml:space="preserve">remain resilient and </w:t>
      </w:r>
      <w:r w:rsidR="00153EF7">
        <w:t>adapt</w:t>
      </w:r>
      <w:r w:rsidR="00114C87">
        <w:t xml:space="preserve"> </w:t>
      </w:r>
      <w:r>
        <w:t>to</w:t>
      </w:r>
      <w:r w:rsidRPr="00026F82">
        <w:t xml:space="preserve"> the energy needs of </w:t>
      </w:r>
      <w:r>
        <w:t xml:space="preserve">its </w:t>
      </w:r>
      <w:r w:rsidRPr="00026F82">
        <w:t>customers</w:t>
      </w:r>
      <w:r w:rsidR="008D64AA">
        <w:t xml:space="preserve"> for the foreseeable future</w:t>
      </w:r>
      <w:r w:rsidRPr="00026F82">
        <w:t xml:space="preserve">. </w:t>
      </w:r>
      <w:r w:rsidR="005D377B">
        <w:t>T</w:t>
      </w:r>
      <w:r w:rsidRPr="00026F82">
        <w:t xml:space="preserve">his IRP </w:t>
      </w:r>
      <w:r>
        <w:t>centers</w:t>
      </w:r>
      <w:r w:rsidRPr="00026F82">
        <w:t xml:space="preserve"> on preserving reliability through </w:t>
      </w:r>
      <w:r>
        <w:t xml:space="preserve">the </w:t>
      </w:r>
      <w:r w:rsidRPr="00026F82">
        <w:t xml:space="preserve">implementation of seasonal planning, </w:t>
      </w:r>
      <w:r w:rsidR="00651DD6" w:rsidRPr="00026F82">
        <w:t>issuance of capacity-based request</w:t>
      </w:r>
      <w:r w:rsidR="00F74349">
        <w:t>s</w:t>
      </w:r>
      <w:r w:rsidR="00651DD6" w:rsidRPr="00026F82">
        <w:t xml:space="preserve"> for proposals (“RFP</w:t>
      </w:r>
      <w:r w:rsidR="00711AC5">
        <w:t>s</w:t>
      </w:r>
      <w:r w:rsidR="00651DD6" w:rsidRPr="00026F82">
        <w:t>”)</w:t>
      </w:r>
      <w:r w:rsidRPr="00026F82">
        <w:t>, and strategically</w:t>
      </w:r>
      <w:r>
        <w:t>-</w:t>
      </w:r>
      <w:r w:rsidRPr="00026F82">
        <w:t>focused reliability investments.</w:t>
      </w:r>
    </w:p>
    <w:p w14:paraId="34865B0E" w14:textId="0628774F" w:rsidR="00B906EA" w:rsidRDefault="00AA74B3" w:rsidP="00A7180F">
      <w:pPr>
        <w:pStyle w:val="Heading2"/>
      </w:pPr>
      <w:bookmarkStart w:id="7" w:name="_Toc536209109"/>
      <w:r>
        <w:t>Reliability and Seasonal Planning</w:t>
      </w:r>
      <w:bookmarkEnd w:id="7"/>
    </w:p>
    <w:p w14:paraId="1A7A20AC" w14:textId="48B52B2E" w:rsidR="00933CE0" w:rsidRDefault="00B906EA" w:rsidP="00807D97">
      <w:r>
        <w:t xml:space="preserve">In </w:t>
      </w:r>
      <w:r w:rsidR="00594776">
        <w:t xml:space="preserve">keeping </w:t>
      </w:r>
      <w:r>
        <w:t xml:space="preserve">with common utility practice, </w:t>
      </w:r>
      <w:r w:rsidR="00FB2561">
        <w:t>the Company</w:t>
      </w:r>
      <w:r>
        <w:t xml:space="preserve"> </w:t>
      </w:r>
      <w:r w:rsidR="00670D18">
        <w:t xml:space="preserve">demonstrates </w:t>
      </w:r>
      <w:r w:rsidR="00DB1122">
        <w:t xml:space="preserve">through its IRP process that </w:t>
      </w:r>
      <w:r>
        <w:t xml:space="preserve">it maintains a sufficient amount of </w:t>
      </w:r>
      <w:r w:rsidR="001D3C27">
        <w:t>demand</w:t>
      </w:r>
      <w:r w:rsidR="00FB2561">
        <w:t xml:space="preserve">- </w:t>
      </w:r>
      <w:r>
        <w:t xml:space="preserve">and </w:t>
      </w:r>
      <w:r w:rsidR="001D3C27">
        <w:t>supply</w:t>
      </w:r>
      <w:r>
        <w:t xml:space="preserve">-side resources to </w:t>
      </w:r>
      <w:r w:rsidR="00651DD6">
        <w:t xml:space="preserve">serve the </w:t>
      </w:r>
      <w:r>
        <w:t xml:space="preserve">needs of its customers. </w:t>
      </w:r>
      <w:r w:rsidR="0032111D" w:rsidRPr="0032111D">
        <w:t xml:space="preserve">Given the uncertain nature of forecasts and of future </w:t>
      </w:r>
      <w:r w:rsidR="001D3C27">
        <w:t>conditions</w:t>
      </w:r>
      <w:r w:rsidR="0032111D" w:rsidRPr="0032111D">
        <w:t xml:space="preserve">, the Company </w:t>
      </w:r>
      <w:r w:rsidR="00670D18">
        <w:t>uses the IRP process to periodically re-</w:t>
      </w:r>
      <w:r w:rsidR="0032111D" w:rsidRPr="0032111D">
        <w:t xml:space="preserve">evaluate its resource needs and </w:t>
      </w:r>
      <w:r w:rsidR="00670D18">
        <w:t>to</w:t>
      </w:r>
      <w:r w:rsidR="0032111D" w:rsidRPr="0032111D">
        <w:t xml:space="preserve"> respond as necessary to ensure </w:t>
      </w:r>
      <w:r w:rsidR="00AE3F72">
        <w:t xml:space="preserve">that its system continues to provide safe, reliable, and </w:t>
      </w:r>
      <w:r w:rsidR="00153EF7">
        <w:t xml:space="preserve">affordable </w:t>
      </w:r>
      <w:r w:rsidR="00AE3F72">
        <w:t>energy to its customers.</w:t>
      </w:r>
    </w:p>
    <w:p w14:paraId="1FE618AB" w14:textId="7808CF23" w:rsidR="00610B22" w:rsidRDefault="00FC0146" w:rsidP="00807D97">
      <w:r>
        <w:t xml:space="preserve">Historically, the Company’s </w:t>
      </w:r>
      <w:r w:rsidR="004E7981">
        <w:t xml:space="preserve">capacity </w:t>
      </w:r>
      <w:r>
        <w:t>planning decisions have been driven by a combination of summer peak loads and a</w:t>
      </w:r>
      <w:r w:rsidR="00DF0450">
        <w:t xml:space="preserve"> </w:t>
      </w:r>
      <w:bookmarkStart w:id="8" w:name="_Hlk531259234"/>
      <w:r w:rsidR="00DF0450">
        <w:t>corresponding</w:t>
      </w:r>
      <w:bookmarkEnd w:id="8"/>
      <w:r>
        <w:t xml:space="preserve"> summer</w:t>
      </w:r>
      <w:r w:rsidR="006334E8">
        <w:t>-</w:t>
      </w:r>
      <w:r w:rsidR="00DF0450">
        <w:t>focused</w:t>
      </w:r>
      <w:r>
        <w:t xml:space="preserve"> </w:t>
      </w:r>
      <w:r w:rsidR="004B4A61">
        <w:t>T</w:t>
      </w:r>
      <w:r>
        <w:t xml:space="preserve">arget </w:t>
      </w:r>
      <w:r w:rsidR="004B4A61">
        <w:t>R</w:t>
      </w:r>
      <w:r>
        <w:t xml:space="preserve">eserve </w:t>
      </w:r>
      <w:r w:rsidR="00FB4C8F">
        <w:t xml:space="preserve">Margin. These </w:t>
      </w:r>
      <w:r>
        <w:t>planning techniques</w:t>
      </w:r>
      <w:r w:rsidR="00610B22">
        <w:t xml:space="preserve"> have</w:t>
      </w:r>
      <w:r>
        <w:t xml:space="preserve"> </w:t>
      </w:r>
      <w:r w:rsidR="005A4CCC">
        <w:t>prove</w:t>
      </w:r>
      <w:r w:rsidR="00610B22">
        <w:t>n</w:t>
      </w:r>
      <w:r w:rsidR="00970379">
        <w:t xml:space="preserve"> to be</w:t>
      </w:r>
      <w:r w:rsidR="005A4CCC">
        <w:t xml:space="preserve"> successful</w:t>
      </w:r>
      <w:r>
        <w:t xml:space="preserve"> </w:t>
      </w:r>
      <w:r w:rsidR="00564795">
        <w:t xml:space="preserve">in </w:t>
      </w:r>
      <w:r>
        <w:t>support</w:t>
      </w:r>
      <w:r w:rsidR="005A4CCC">
        <w:t>ing</w:t>
      </w:r>
      <w:r>
        <w:t xml:space="preserve"> reliability while </w:t>
      </w:r>
      <w:r w:rsidR="006B3263">
        <w:t xml:space="preserve">cost-effectively </w:t>
      </w:r>
      <w:r>
        <w:t xml:space="preserve">meeting </w:t>
      </w:r>
      <w:r w:rsidR="00564795">
        <w:t xml:space="preserve">the needs of </w:t>
      </w:r>
      <w:r w:rsidR="00651DD6">
        <w:t>customers.</w:t>
      </w:r>
      <w:r>
        <w:t xml:space="preserve"> However, recent operational experience</w:t>
      </w:r>
      <w:r w:rsidR="005A4CCC">
        <w:t>s</w:t>
      </w:r>
      <w:r>
        <w:t xml:space="preserve"> </w:t>
      </w:r>
      <w:r w:rsidR="004277F4">
        <w:t>and</w:t>
      </w:r>
      <w:r>
        <w:t xml:space="preserve"> forecasted conditions reflect a significant </w:t>
      </w:r>
      <w:r w:rsidR="00D16FCC">
        <w:t xml:space="preserve">shift </w:t>
      </w:r>
      <w:r>
        <w:t>in reliabil</w:t>
      </w:r>
      <w:r w:rsidR="00A46EEC">
        <w:t>ity risk from the summer season</w:t>
      </w:r>
      <w:r>
        <w:t xml:space="preserve"> to </w:t>
      </w:r>
      <w:r w:rsidR="0098284D">
        <w:t xml:space="preserve">the </w:t>
      </w:r>
      <w:r>
        <w:t>winter s</w:t>
      </w:r>
      <w:r w:rsidR="00A46EEC">
        <w:t>eason</w:t>
      </w:r>
      <w:r w:rsidR="00996E75">
        <w:t xml:space="preserve">, thus requiring the Company to </w:t>
      </w:r>
      <w:r w:rsidR="00D16FCC">
        <w:t xml:space="preserve">adapt </w:t>
      </w:r>
      <w:r w:rsidR="00996E75">
        <w:t>its</w:t>
      </w:r>
      <w:r w:rsidR="0098284D">
        <w:t xml:space="preserve"> </w:t>
      </w:r>
      <w:r>
        <w:t xml:space="preserve">historically </w:t>
      </w:r>
      <w:r w:rsidR="00A46EEC">
        <w:t>summer-based</w:t>
      </w:r>
      <w:r>
        <w:t xml:space="preserve"> </w:t>
      </w:r>
      <w:r w:rsidR="00224EAC">
        <w:t xml:space="preserve">capacity </w:t>
      </w:r>
      <w:r>
        <w:t xml:space="preserve">planning approach </w:t>
      </w:r>
      <w:r w:rsidR="008322DF">
        <w:t xml:space="preserve">to </w:t>
      </w:r>
      <w:r w:rsidR="00B31CB8">
        <w:t>specifically</w:t>
      </w:r>
      <w:r w:rsidR="00996E75">
        <w:t xml:space="preserve"> </w:t>
      </w:r>
      <w:r w:rsidR="008322DF">
        <w:t>address</w:t>
      </w:r>
      <w:r w:rsidR="00041D63">
        <w:t xml:space="preserve"> seasonal reliability needs.</w:t>
      </w:r>
      <w:r w:rsidR="008214D2">
        <w:t xml:space="preserve"> </w:t>
      </w:r>
      <w:r w:rsidR="000A4A25">
        <w:t xml:space="preserve">Due </w:t>
      </w:r>
      <w:r w:rsidR="00F30214">
        <w:t xml:space="preserve">to </w:t>
      </w:r>
      <w:r w:rsidR="00DF0450">
        <w:t xml:space="preserve">continued </w:t>
      </w:r>
      <w:r w:rsidR="00F30214">
        <w:t>increases</w:t>
      </w:r>
      <w:r w:rsidR="00AD6C96">
        <w:t xml:space="preserve"> in winter reliability risk</w:t>
      </w:r>
      <w:r w:rsidR="009E41EA">
        <w:t>s</w:t>
      </w:r>
      <w:r w:rsidR="00AD6C96">
        <w:t>,</w:t>
      </w:r>
      <w:r w:rsidR="000A4A25">
        <w:t xml:space="preserve"> </w:t>
      </w:r>
      <w:r w:rsidR="00A46EEC">
        <w:t xml:space="preserve">the Company </w:t>
      </w:r>
      <w:r w:rsidR="0062050E">
        <w:t xml:space="preserve">is adopting </w:t>
      </w:r>
      <w:r w:rsidR="00AE3F72">
        <w:t xml:space="preserve">seasonal </w:t>
      </w:r>
      <w:r w:rsidR="00BF5B22">
        <w:t xml:space="preserve">planning </w:t>
      </w:r>
      <w:bookmarkStart w:id="9" w:name="_Hlk532989947"/>
      <w:r w:rsidR="00BF5B22">
        <w:t xml:space="preserve">to </w:t>
      </w:r>
      <w:r w:rsidR="006B3263">
        <w:t xml:space="preserve">better address the winter reliability issues previously identified in the 2016 IRP. Seasonal planning </w:t>
      </w:r>
      <w:r w:rsidR="00BF5B22">
        <w:t>provide</w:t>
      </w:r>
      <w:r w:rsidR="006B3263">
        <w:t>s</w:t>
      </w:r>
      <w:r w:rsidR="00BF5B22">
        <w:t xml:space="preserve"> greater visibility into both summer and winter capacity </w:t>
      </w:r>
      <w:r w:rsidR="00404047">
        <w:t>needs rather</w:t>
      </w:r>
      <w:r w:rsidR="00D34DBE">
        <w:t xml:space="preserve"> than limiting reliability decisions to a single season</w:t>
      </w:r>
      <w:r w:rsidR="006B3263">
        <w:t>.</w:t>
      </w:r>
      <w:bookmarkEnd w:id="9"/>
    </w:p>
    <w:p w14:paraId="7714AE89" w14:textId="7A8751E0" w:rsidR="005871E1" w:rsidRDefault="00996E75" w:rsidP="005871E1">
      <w:r>
        <w:t>In support of this recommendation</w:t>
      </w:r>
      <w:r w:rsidR="00B4478D">
        <w:t xml:space="preserve">, </w:t>
      </w:r>
      <w:r w:rsidR="00093D92">
        <w:t>Technical Appendix Volume 1</w:t>
      </w:r>
      <w:r w:rsidR="00B4478D">
        <w:t xml:space="preserve"> contains a detailed</w:t>
      </w:r>
      <w:r w:rsidR="00281149">
        <w:t xml:space="preserve"> reliability </w:t>
      </w:r>
      <w:r w:rsidR="00B4478D">
        <w:t xml:space="preserve">analysis reflected in the </w:t>
      </w:r>
      <w:r w:rsidR="00720697">
        <w:t xml:space="preserve">2018 </w:t>
      </w:r>
      <w:r w:rsidR="00B4478D">
        <w:t>Reserve Margin Study (</w:t>
      </w:r>
      <w:r w:rsidR="00720697">
        <w:t>“Reserve Margin Study”</w:t>
      </w:r>
      <w:r w:rsidR="00B4478D">
        <w:t>)</w:t>
      </w:r>
      <w:r>
        <w:t xml:space="preserve"> that addresses </w:t>
      </w:r>
      <w:r w:rsidR="003E58CC">
        <w:t>Target Reserve Margins</w:t>
      </w:r>
      <w:r>
        <w:t xml:space="preserve"> for the Southern Company </w:t>
      </w:r>
      <w:r w:rsidR="00A455A3">
        <w:t>S</w:t>
      </w:r>
      <w:r>
        <w:t xml:space="preserve">ystem </w:t>
      </w:r>
      <w:r w:rsidR="00E1613D">
        <w:t>(“System”)</w:t>
      </w:r>
      <w:r>
        <w:t>. Based upon the R</w:t>
      </w:r>
      <w:r w:rsidR="00970379">
        <w:t xml:space="preserve">eserve </w:t>
      </w:r>
      <w:r>
        <w:t>M</w:t>
      </w:r>
      <w:r w:rsidR="00970379">
        <w:t xml:space="preserve">argin </w:t>
      </w:r>
      <w:r>
        <w:t>S</w:t>
      </w:r>
      <w:r w:rsidR="00970379">
        <w:t>tudy</w:t>
      </w:r>
      <w:r>
        <w:t>,</w:t>
      </w:r>
      <w:r w:rsidR="00BD4D7F" w:rsidRPr="00BD4D7F">
        <w:t xml:space="preserve"> </w:t>
      </w:r>
      <w:r w:rsidR="00BD4D7F">
        <w:t>the Company intends to utilize seasonal Target Reserve Margins for all future planning purposes. For</w:t>
      </w:r>
      <w:r w:rsidR="00E30B44">
        <w:t xml:space="preserve"> long-term planning starting in 2022 and beyond,</w:t>
      </w:r>
      <w:r>
        <w:t xml:space="preserve"> the Company</w:t>
      </w:r>
      <w:r w:rsidR="00AE3F72">
        <w:t xml:space="preserve">’s plan maintains </w:t>
      </w:r>
      <w:r>
        <w:t xml:space="preserve">a </w:t>
      </w:r>
      <w:r w:rsidR="003E58CC">
        <w:t>Target Reserve Margin</w:t>
      </w:r>
      <w:r>
        <w:t xml:space="preserve"> of 16.25% for summer periods</w:t>
      </w:r>
      <w:r w:rsidR="007B1650">
        <w:t xml:space="preserve"> </w:t>
      </w:r>
      <w:r w:rsidR="007B1650" w:rsidRPr="00314142">
        <w:t>(</w:t>
      </w:r>
      <w:r w:rsidR="00B634A4">
        <w:t>“</w:t>
      </w:r>
      <w:r w:rsidR="007B1650">
        <w:t>S</w:t>
      </w:r>
      <w:r w:rsidR="007B1650" w:rsidRPr="00314142">
        <w:t>ummer Target Reserve Margin</w:t>
      </w:r>
      <w:r w:rsidR="00B634A4">
        <w:t>”</w:t>
      </w:r>
      <w:r w:rsidR="007B1650" w:rsidRPr="00314142">
        <w:t>)</w:t>
      </w:r>
      <w:r>
        <w:t xml:space="preserve">, which is the </w:t>
      </w:r>
      <w:r w:rsidR="003E58CC">
        <w:t>Target Reserve Margin</w:t>
      </w:r>
      <w:r>
        <w:t xml:space="preserve"> </w:t>
      </w:r>
      <w:r w:rsidR="0032111D">
        <w:t xml:space="preserve">approved </w:t>
      </w:r>
      <w:r>
        <w:t>in the 2016 IRP</w:t>
      </w:r>
      <w:r w:rsidR="00B4478D">
        <w:t>.</w:t>
      </w:r>
      <w:r w:rsidR="0082044F">
        <w:t xml:space="preserve"> </w:t>
      </w:r>
      <w:r w:rsidR="00AE3F72">
        <w:t>For winter periods</w:t>
      </w:r>
      <w:r w:rsidR="00E21DFD">
        <w:t xml:space="preserve">, the </w:t>
      </w:r>
      <w:r w:rsidR="00AE3F72">
        <w:t>Company</w:t>
      </w:r>
      <w:r w:rsidR="00101945">
        <w:t xml:space="preserve"> is adopting</w:t>
      </w:r>
      <w:r w:rsidR="00AE3F72">
        <w:t xml:space="preserve"> </w:t>
      </w:r>
      <w:r w:rsidR="00E21DFD">
        <w:t xml:space="preserve">a long-term Target Reserve Margin of 26% </w:t>
      </w:r>
      <w:r w:rsidR="00E21DFD" w:rsidRPr="00314142">
        <w:t>(</w:t>
      </w:r>
      <w:r w:rsidR="00E21DFD">
        <w:t>“Winter</w:t>
      </w:r>
      <w:r w:rsidR="00E21DFD" w:rsidRPr="00314142">
        <w:t xml:space="preserve"> Target Reserve Margin</w:t>
      </w:r>
      <w:r w:rsidR="00E21DFD">
        <w:t>”</w:t>
      </w:r>
      <w:r w:rsidR="00E21DFD" w:rsidRPr="00314142">
        <w:t>)</w:t>
      </w:r>
      <w:r w:rsidR="00E21DFD">
        <w:t>.</w:t>
      </w:r>
      <w:r w:rsidR="00681252">
        <w:t xml:space="preserve"> </w:t>
      </w:r>
      <w:r w:rsidR="00207F74">
        <w:t>Despite i</w:t>
      </w:r>
      <w:r w:rsidR="00E21DFD">
        <w:t xml:space="preserve">mplementation of </w:t>
      </w:r>
      <w:r w:rsidR="00681252">
        <w:t xml:space="preserve">the </w:t>
      </w:r>
      <w:r w:rsidR="00E21DFD">
        <w:t>seasonal Target Reserve Margins</w:t>
      </w:r>
      <w:r w:rsidR="009B26E9">
        <w:t>,</w:t>
      </w:r>
      <w:r w:rsidR="00E21DFD">
        <w:t xml:space="preserve"> </w:t>
      </w:r>
      <w:r w:rsidR="00AE3F72">
        <w:t>Georgia Power</w:t>
      </w:r>
      <w:r w:rsidR="009B26E9">
        <w:t>’s next capacity need occurs</w:t>
      </w:r>
      <w:r w:rsidR="00AE3F72">
        <w:t xml:space="preserve"> </w:t>
      </w:r>
      <w:r w:rsidR="00E21DFD">
        <w:t>i</w:t>
      </w:r>
      <w:r w:rsidR="00681252">
        <w:t xml:space="preserve">n the summer </w:t>
      </w:r>
      <w:r w:rsidR="009B26E9">
        <w:t xml:space="preserve">rather </w:t>
      </w:r>
      <w:r w:rsidR="00681252">
        <w:t xml:space="preserve">than in the winter, indicating that the timing of </w:t>
      </w:r>
      <w:r w:rsidR="00AE3F72">
        <w:t xml:space="preserve">the Company’s </w:t>
      </w:r>
      <w:r w:rsidR="00681252">
        <w:t xml:space="preserve">next capacity-based decision will continue to be driven by </w:t>
      </w:r>
      <w:r w:rsidR="005871E1">
        <w:t>summer</w:t>
      </w:r>
      <w:r w:rsidR="00BF5B22">
        <w:t xml:space="preserve"> needs</w:t>
      </w:r>
      <w:r w:rsidR="005871E1">
        <w:t xml:space="preserve">. </w:t>
      </w:r>
      <w:r w:rsidR="00AE3F72">
        <w:t>F</w:t>
      </w:r>
      <w:r w:rsidR="0097077A">
        <w:t>ut</w:t>
      </w:r>
      <w:r w:rsidR="00AE3F72">
        <w:t xml:space="preserve">ure capacity planning decisions, however, </w:t>
      </w:r>
      <w:r w:rsidR="0097077A">
        <w:t>could be driven by winter</w:t>
      </w:r>
      <w:r w:rsidR="00BF5B22">
        <w:t xml:space="preserve"> needs</w:t>
      </w:r>
      <w:r w:rsidR="0097077A">
        <w:t>, especially if winter reliability risks are not adequately addressed.</w:t>
      </w:r>
      <w:r w:rsidR="005871E1">
        <w:t xml:space="preserve"> </w:t>
      </w:r>
    </w:p>
    <w:p w14:paraId="129B21A5" w14:textId="4C8C1DFB" w:rsidR="00B92FB5" w:rsidRDefault="00D16FCC" w:rsidP="00807D97">
      <w:r>
        <w:t>C</w:t>
      </w:r>
      <w:r w:rsidR="002C07A1">
        <w:t xml:space="preserve">onsistent with past practice, </w:t>
      </w:r>
      <w:r w:rsidR="00BD4D7F">
        <w:t xml:space="preserve">the Company </w:t>
      </w:r>
      <w:r w:rsidR="009D325B">
        <w:t>also evaluated the</w:t>
      </w:r>
      <w:r w:rsidR="00BD4D7F">
        <w:t xml:space="preserve"> short term (2019-2021)</w:t>
      </w:r>
      <w:r w:rsidR="009D325B">
        <w:t xml:space="preserve"> Target</w:t>
      </w:r>
      <w:r w:rsidR="00BD4D7F">
        <w:t xml:space="preserve"> </w:t>
      </w:r>
      <w:r w:rsidR="009D325B">
        <w:t>Reserve Margin</w:t>
      </w:r>
      <w:r w:rsidR="00C5551D">
        <w:t xml:space="preserve"> </w:t>
      </w:r>
      <w:r w:rsidR="009B26E9">
        <w:t>and plans to adopt</w:t>
      </w:r>
      <w:r w:rsidR="00C5551D">
        <w:t xml:space="preserve"> </w:t>
      </w:r>
      <w:r w:rsidR="009B26E9">
        <w:t>1</w:t>
      </w:r>
      <w:r w:rsidR="009D325B">
        <w:t>5.75% for summer and 25.5% for winter.</w:t>
      </w:r>
      <w:r w:rsidR="002C07A1">
        <w:t xml:space="preserve"> </w:t>
      </w:r>
      <w:r w:rsidR="00281149">
        <w:t>No resource decisions have been altered in this IRP based on the Company’s recommended</w:t>
      </w:r>
      <w:r w:rsidR="003940DC">
        <w:t xml:space="preserve"> </w:t>
      </w:r>
      <w:r w:rsidR="009D325B">
        <w:t xml:space="preserve">Winter </w:t>
      </w:r>
      <w:r w:rsidR="004B4A61">
        <w:t>T</w:t>
      </w:r>
      <w:r w:rsidR="00281149">
        <w:t>arget</w:t>
      </w:r>
      <w:r w:rsidR="003940DC">
        <w:t xml:space="preserve"> </w:t>
      </w:r>
      <w:r w:rsidR="004B4A61">
        <w:t>R</w:t>
      </w:r>
      <w:r w:rsidR="003940DC">
        <w:t xml:space="preserve">eserve </w:t>
      </w:r>
      <w:r w:rsidR="004B4A61">
        <w:t>M</w:t>
      </w:r>
      <w:r w:rsidR="003940DC">
        <w:t>argin</w:t>
      </w:r>
      <w:r w:rsidR="006E1304">
        <w:t>.</w:t>
      </w:r>
      <w:r w:rsidR="003940DC">
        <w:t xml:space="preserve"> However, </w:t>
      </w:r>
      <w:r w:rsidR="008214D2">
        <w:t xml:space="preserve">the Company includes </w:t>
      </w:r>
      <w:r w:rsidR="003940DC">
        <w:t xml:space="preserve">sensitivities </w:t>
      </w:r>
      <w:r w:rsidR="008214D2">
        <w:t>to</w:t>
      </w:r>
      <w:r w:rsidR="003940DC">
        <w:t xml:space="preserve"> demonstrate </w:t>
      </w:r>
      <w:r w:rsidR="008214D2">
        <w:t xml:space="preserve">that while </w:t>
      </w:r>
      <w:r w:rsidR="003940DC">
        <w:t>the change is minimal for Georgia Power in this IRP</w:t>
      </w:r>
      <w:r w:rsidR="008214D2">
        <w:t>,</w:t>
      </w:r>
      <w:r w:rsidR="003940DC">
        <w:t xml:space="preserve"> adoption is necessary </w:t>
      </w:r>
      <w:r w:rsidR="008214D2">
        <w:t>to enable the Company</w:t>
      </w:r>
      <w:r w:rsidR="003940DC">
        <w:t xml:space="preserve"> to act upon winter-based reliability concerns. </w:t>
      </w:r>
      <w:r w:rsidR="00C029C5">
        <w:t>A detailed review of these requirements can be found in</w:t>
      </w:r>
      <w:r w:rsidR="00041D63">
        <w:t xml:space="preserve"> </w:t>
      </w:r>
      <w:r w:rsidR="009206B9">
        <w:fldChar w:fldCharType="begin"/>
      </w:r>
      <w:r w:rsidR="009206B9">
        <w:instrText xml:space="preserve"> REF _Ref532972233 \r \h </w:instrText>
      </w:r>
      <w:r w:rsidR="009206B9">
        <w:fldChar w:fldCharType="separate"/>
      </w:r>
      <w:r w:rsidR="00F33DA2">
        <w:t>CHAPTER 5</w:t>
      </w:r>
      <w:r w:rsidR="009206B9">
        <w:fldChar w:fldCharType="end"/>
      </w:r>
      <w:r w:rsidR="00327DD4">
        <w:t xml:space="preserve"> as well as Technical Appendix Volume 1. </w:t>
      </w:r>
    </w:p>
    <w:p w14:paraId="7B79BBAD" w14:textId="7D471B6E" w:rsidR="00B906EA" w:rsidRDefault="008A57FA" w:rsidP="00A7180F">
      <w:pPr>
        <w:pStyle w:val="Heading2"/>
      </w:pPr>
      <w:bookmarkStart w:id="10" w:name="_Toc536209110"/>
      <w:r>
        <w:t>Load</w:t>
      </w:r>
      <w:r w:rsidR="00901DF3">
        <w:t xml:space="preserve"> and Energy Forecast</w:t>
      </w:r>
      <w:r w:rsidR="00083A3E">
        <w:t>s</w:t>
      </w:r>
      <w:bookmarkEnd w:id="10"/>
    </w:p>
    <w:p w14:paraId="0821E14C" w14:textId="2B0DDA1C" w:rsidR="00B906EA" w:rsidRDefault="0088207E" w:rsidP="00B906EA">
      <w:r>
        <w:t>T</w:t>
      </w:r>
      <w:r w:rsidR="00B906EA" w:rsidRPr="00ED6150">
        <w:t>wenty-year forecast</w:t>
      </w:r>
      <w:r>
        <w:t>s</w:t>
      </w:r>
      <w:r w:rsidR="00B906EA" w:rsidRPr="00ED6150">
        <w:t xml:space="preserve"> of </w:t>
      </w:r>
      <w:r w:rsidR="00A23A4E" w:rsidRPr="00ED6150">
        <w:t xml:space="preserve">energy sales and peak demand </w:t>
      </w:r>
      <w:r>
        <w:t xml:space="preserve">were </w:t>
      </w:r>
      <w:r w:rsidR="00B906EA" w:rsidRPr="00ED6150">
        <w:t xml:space="preserve">developed to meet </w:t>
      </w:r>
      <w:r w:rsidR="00AE3F72">
        <w:t xml:space="preserve">Georgia Power’s </w:t>
      </w:r>
      <w:r w:rsidR="00B906EA" w:rsidRPr="00ED6150">
        <w:t xml:space="preserve">planning needs. </w:t>
      </w:r>
      <w:r w:rsidR="005275B3">
        <w:t xml:space="preserve">Although the difference between the weather-normal summer and weather-normal winter peaks is narrowing, </w:t>
      </w:r>
      <w:r w:rsidR="00E309FB">
        <w:t xml:space="preserve">Georgia Power </w:t>
      </w:r>
      <w:r w:rsidR="005275B3">
        <w:t xml:space="preserve">remains a summer-peaking utility. </w:t>
      </w:r>
      <w:r w:rsidR="00B906EA" w:rsidRPr="00ED6150">
        <w:t xml:space="preserve">The Budget 2019 </w:t>
      </w:r>
      <w:r w:rsidR="008A57FA">
        <w:t>Load</w:t>
      </w:r>
      <w:r w:rsidR="00C33C80" w:rsidRPr="00ED6150">
        <w:t xml:space="preserve"> </w:t>
      </w:r>
      <w:r w:rsidR="00B906EA" w:rsidRPr="00ED6150">
        <w:t>and Energy Forecast</w:t>
      </w:r>
      <w:r w:rsidR="00083A3E">
        <w:t>s</w:t>
      </w:r>
      <w:r w:rsidR="00B906EA" w:rsidRPr="00ED6150">
        <w:t xml:space="preserve"> </w:t>
      </w:r>
      <w:r w:rsidR="008922CA">
        <w:t xml:space="preserve">(“Budget 2019”) </w:t>
      </w:r>
      <w:r w:rsidR="00B906EA" w:rsidRPr="00ED6150">
        <w:t>include the retail classes of residential, commercial, industrial, Metropolitan Atlanta Rapid Transit Authority (“MARTA</w:t>
      </w:r>
      <w:r w:rsidR="00B906EA">
        <w:t>”), and governmental lighting. The baseline forecast was started in the spring of 2018 and completed in the fall of 2018. An overview of the process, assumptions</w:t>
      </w:r>
      <w:r w:rsidR="00083A3E">
        <w:t>,</w:t>
      </w:r>
      <w:r w:rsidR="00B906EA">
        <w:t xml:space="preserve"> and modeling</w:t>
      </w:r>
      <w:r w:rsidR="00B906EA" w:rsidRPr="00ED6150">
        <w:t xml:space="preserve"> of the energy and </w:t>
      </w:r>
      <w:r w:rsidR="008A57FA">
        <w:t>load</w:t>
      </w:r>
      <w:r w:rsidR="00B906EA" w:rsidRPr="00ED6150">
        <w:t xml:space="preserve"> forecast</w:t>
      </w:r>
      <w:r w:rsidR="00083A3E">
        <w:t>s</w:t>
      </w:r>
      <w:r w:rsidR="00B906EA" w:rsidRPr="00ED6150">
        <w:t xml:space="preserve"> is </w:t>
      </w:r>
      <w:r w:rsidR="00B906EA">
        <w:t xml:space="preserve">provided in </w:t>
      </w:r>
      <w:r w:rsidR="009206B9">
        <w:fldChar w:fldCharType="begin"/>
      </w:r>
      <w:r w:rsidR="009206B9">
        <w:instrText xml:space="preserve"> REF _Ref532998462 \r \h </w:instrText>
      </w:r>
      <w:r w:rsidR="009206B9">
        <w:fldChar w:fldCharType="separate"/>
      </w:r>
      <w:r w:rsidR="00F33DA2">
        <w:t>CHAPTER 6</w:t>
      </w:r>
      <w:r w:rsidR="009206B9">
        <w:fldChar w:fldCharType="end"/>
      </w:r>
      <w:r w:rsidR="00B906EA">
        <w:t xml:space="preserve"> and discussed in greater detail </w:t>
      </w:r>
      <w:r w:rsidR="00B906EA" w:rsidRPr="00ED6150">
        <w:t xml:space="preserve">in </w:t>
      </w:r>
      <w:r w:rsidR="00B906EA">
        <w:t xml:space="preserve">the </w:t>
      </w:r>
      <w:r w:rsidR="00B906EA" w:rsidRPr="00ED6150">
        <w:t xml:space="preserve">Budget 2019 </w:t>
      </w:r>
      <w:r w:rsidR="008A57FA">
        <w:t>Load</w:t>
      </w:r>
      <w:r w:rsidR="00C33C80" w:rsidRPr="00ED6150">
        <w:t xml:space="preserve"> </w:t>
      </w:r>
      <w:r w:rsidR="00B906EA" w:rsidRPr="00ED6150">
        <w:t>and Energy Forecast</w:t>
      </w:r>
      <w:r w:rsidR="00083A3E">
        <w:t>s</w:t>
      </w:r>
      <w:r w:rsidR="00B906EA" w:rsidRPr="00ED6150">
        <w:t>, fou</w:t>
      </w:r>
      <w:r w:rsidR="00B906EA">
        <w:t>nd in Technical Appendix Volume 1</w:t>
      </w:r>
      <w:r w:rsidR="00B906EA" w:rsidRPr="00ED6150">
        <w:t>.</w:t>
      </w:r>
    </w:p>
    <w:p w14:paraId="16CCE76B" w14:textId="244DCBD3" w:rsidR="00B906EA" w:rsidRPr="00A81207" w:rsidRDefault="00B906EA" w:rsidP="00A7180F">
      <w:pPr>
        <w:pStyle w:val="Heading2"/>
      </w:pPr>
      <w:bookmarkStart w:id="11" w:name="_Toc536209111"/>
      <w:bookmarkStart w:id="12" w:name="_Hlk534726204"/>
      <w:r>
        <w:t xml:space="preserve">Demand-Side </w:t>
      </w:r>
      <w:r w:rsidR="00377F7E">
        <w:t>Strategy</w:t>
      </w:r>
      <w:bookmarkEnd w:id="11"/>
    </w:p>
    <w:p w14:paraId="4AEDE65A" w14:textId="3A0C7E82" w:rsidR="00F4498A" w:rsidRDefault="00F4498A" w:rsidP="00F4498A">
      <w:pPr>
        <w:rPr>
          <w:rFonts w:ascii="Calibri" w:hAnsi="Calibri"/>
          <w:color w:val="auto"/>
        </w:rPr>
      </w:pPr>
      <w:bookmarkStart w:id="13" w:name="_Hlk532981982"/>
      <w:bookmarkEnd w:id="12"/>
      <w:r>
        <w:t>The Company’s current demand-side management (“DSM”) portfolio consists of demand response programs, energy efficiency programs, pricing tariffs, and other activities. The Company projects that by 2022 this portfolio will represent approximately 1,600 MW, or approximately 10% of the Company’s current peak demand.</w:t>
      </w:r>
    </w:p>
    <w:p w14:paraId="23AAE908" w14:textId="6205C7DF" w:rsidR="00F4498A" w:rsidRPr="00024A73" w:rsidRDefault="00F4498A" w:rsidP="00F4498A">
      <w:pPr>
        <w:rPr>
          <w:rFonts w:eastAsia="Times New Roman" w:cs="Arial"/>
        </w:rPr>
      </w:pPr>
      <w:r w:rsidRPr="00024A73">
        <w:rPr>
          <w:rFonts w:eastAsia="Times New Roman" w:cs="Arial"/>
        </w:rPr>
        <w:t>In accordance with the 2016 IRP Order, the Company continue</w:t>
      </w:r>
      <w:r>
        <w:rPr>
          <w:rFonts w:eastAsia="Times New Roman" w:cs="Arial"/>
        </w:rPr>
        <w:t>s</w:t>
      </w:r>
      <w:r w:rsidRPr="00024A73">
        <w:rPr>
          <w:rFonts w:eastAsia="Times New Roman" w:cs="Arial"/>
        </w:rPr>
        <w:t xml:space="preserve"> to work closely with the DSM Working Group (“DSMWG”)</w:t>
      </w:r>
      <w:r w:rsidR="0088207E">
        <w:rPr>
          <w:rFonts w:eastAsia="Times New Roman" w:cs="Arial"/>
        </w:rPr>
        <w:t>,</w:t>
      </w:r>
      <w:r w:rsidRPr="00024A73">
        <w:rPr>
          <w:rFonts w:eastAsia="Times New Roman" w:cs="Arial"/>
        </w:rPr>
        <w:t xml:space="preserve"> using the DSM Program Planning Approach for DSM program development. The Company prepared a Technical Reference Manual, completed and filed an energy efficiency potential study, and conducted a comprehensive analysis of potential DSM programs with the assis</w:t>
      </w:r>
      <w:r>
        <w:rPr>
          <w:rFonts w:eastAsia="Times New Roman" w:cs="Arial"/>
        </w:rPr>
        <w:t>tance and input of the DSMWG.</w:t>
      </w:r>
    </w:p>
    <w:p w14:paraId="6EBAA5AE" w14:textId="01BD205F" w:rsidR="00F4498A" w:rsidRPr="00024A73" w:rsidRDefault="00F4498A" w:rsidP="00F4498A">
      <w:pPr>
        <w:rPr>
          <w:rFonts w:eastAsia="Times New Roman" w:cs="Arial"/>
        </w:rPr>
      </w:pPr>
      <w:r w:rsidRPr="00024A73">
        <w:rPr>
          <w:rFonts w:eastAsia="Times New Roman" w:cs="Arial"/>
        </w:rPr>
        <w:t xml:space="preserve">The </w:t>
      </w:r>
      <w:r>
        <w:rPr>
          <w:rFonts w:eastAsia="Times New Roman" w:cs="Arial"/>
        </w:rPr>
        <w:t xml:space="preserve">Company seeks approval of its </w:t>
      </w:r>
      <w:r w:rsidRPr="00024A73">
        <w:rPr>
          <w:rFonts w:eastAsia="Times New Roman" w:cs="Arial"/>
        </w:rPr>
        <w:t xml:space="preserve">recommended DSM action plan </w:t>
      </w:r>
      <w:r>
        <w:rPr>
          <w:rFonts w:eastAsia="Times New Roman" w:cs="Arial"/>
        </w:rPr>
        <w:t>including</w:t>
      </w:r>
      <w:r w:rsidRPr="00024A73">
        <w:rPr>
          <w:rFonts w:eastAsia="Times New Roman" w:cs="Arial"/>
        </w:rPr>
        <w:t xml:space="preserve"> a certificate for </w:t>
      </w:r>
      <w:r>
        <w:rPr>
          <w:rFonts w:eastAsia="Times New Roman" w:cs="Arial"/>
        </w:rPr>
        <w:t>three</w:t>
      </w:r>
      <w:r w:rsidRPr="00024A73">
        <w:rPr>
          <w:rFonts w:eastAsia="Times New Roman" w:cs="Arial"/>
        </w:rPr>
        <w:t xml:space="preserve"> new DSM programs, </w:t>
      </w:r>
      <w:r>
        <w:rPr>
          <w:rFonts w:eastAsia="Times New Roman" w:cs="Arial"/>
        </w:rPr>
        <w:t xml:space="preserve">amended certificates for </w:t>
      </w:r>
      <w:r w:rsidR="00CC3FAB">
        <w:rPr>
          <w:rFonts w:eastAsia="Times New Roman" w:cs="Arial"/>
        </w:rPr>
        <w:t>three</w:t>
      </w:r>
      <w:r w:rsidRPr="00024A73">
        <w:rPr>
          <w:rFonts w:eastAsia="Times New Roman" w:cs="Arial"/>
        </w:rPr>
        <w:t xml:space="preserve"> certified DSM programs, </w:t>
      </w:r>
      <w:r>
        <w:rPr>
          <w:rFonts w:eastAsia="Times New Roman" w:cs="Arial"/>
        </w:rPr>
        <w:t>decertification of</w:t>
      </w:r>
      <w:r w:rsidRPr="00024A73">
        <w:rPr>
          <w:rFonts w:eastAsia="Times New Roman" w:cs="Arial"/>
        </w:rPr>
        <w:t xml:space="preserve"> two DSM programs, and </w:t>
      </w:r>
      <w:r>
        <w:rPr>
          <w:rFonts w:eastAsia="Times New Roman" w:cs="Arial"/>
        </w:rPr>
        <w:t>updated</w:t>
      </w:r>
      <w:r w:rsidRPr="00024A73">
        <w:rPr>
          <w:rFonts w:eastAsia="Times New Roman" w:cs="Arial"/>
        </w:rPr>
        <w:t xml:space="preserve"> program economics for the remaining </w:t>
      </w:r>
      <w:r w:rsidR="00CC3FAB">
        <w:rPr>
          <w:rFonts w:eastAsia="Times New Roman" w:cs="Arial"/>
        </w:rPr>
        <w:t xml:space="preserve">five </w:t>
      </w:r>
      <w:r w:rsidRPr="00024A73">
        <w:rPr>
          <w:rFonts w:eastAsia="Times New Roman" w:cs="Arial"/>
        </w:rPr>
        <w:t>previously-certified DSM programs in the Company’s 2016 DSM Application. The Company also intends to continue the Power Credit residential program, which was certified in Docket No. 6315.</w:t>
      </w:r>
    </w:p>
    <w:p w14:paraId="20B67D8A" w14:textId="21B6FA5B" w:rsidR="006B0AF7" w:rsidRDefault="00F4498A" w:rsidP="00F4498A">
      <w:pPr>
        <w:rPr>
          <w:rFonts w:eastAsia="Times New Roman" w:cs="Arial"/>
        </w:rPr>
      </w:pPr>
      <w:r>
        <w:rPr>
          <w:rFonts w:eastAsia="Times New Roman" w:cs="Arial"/>
        </w:rPr>
        <w:t>In preparing its Proposed Case, the Company acknowledges</w:t>
      </w:r>
      <w:r w:rsidRPr="00024A73">
        <w:rPr>
          <w:rFonts w:eastAsia="Times New Roman" w:cs="Arial"/>
        </w:rPr>
        <w:t xml:space="preserve"> </w:t>
      </w:r>
      <w:r>
        <w:rPr>
          <w:rFonts w:eastAsia="Times New Roman" w:cs="Arial"/>
        </w:rPr>
        <w:t>that</w:t>
      </w:r>
      <w:r w:rsidRPr="00024A73">
        <w:rPr>
          <w:rFonts w:eastAsia="Times New Roman" w:cs="Arial"/>
        </w:rPr>
        <w:t xml:space="preserve"> avoided cost savings are lower than those projected in the 2016 IRP, which has a negative impact on the economics of the Company’s current and proposed DSM programs relative to the economics projected in the 2016 IRP. As discussed in </w:t>
      </w:r>
      <w:r>
        <w:rPr>
          <w:rFonts w:eastAsia="Times New Roman" w:cs="Arial"/>
        </w:rPr>
        <w:fldChar w:fldCharType="begin"/>
      </w:r>
      <w:r>
        <w:rPr>
          <w:rFonts w:eastAsia="Times New Roman" w:cs="Arial"/>
        </w:rPr>
        <w:instrText xml:space="preserve"> REF _Ref532998480 \r \h </w:instrText>
      </w:r>
      <w:r>
        <w:rPr>
          <w:rFonts w:eastAsia="Times New Roman" w:cs="Arial"/>
        </w:rPr>
      </w:r>
      <w:r>
        <w:rPr>
          <w:rFonts w:eastAsia="Times New Roman" w:cs="Arial"/>
        </w:rPr>
        <w:fldChar w:fldCharType="separate"/>
      </w:r>
      <w:r w:rsidR="00F33DA2">
        <w:rPr>
          <w:rFonts w:eastAsia="Times New Roman" w:cs="Arial"/>
        </w:rPr>
        <w:t>CHAPTER 7</w:t>
      </w:r>
      <w:r>
        <w:rPr>
          <w:rFonts w:eastAsia="Times New Roman" w:cs="Arial"/>
        </w:rPr>
        <w:fldChar w:fldCharType="end"/>
      </w:r>
      <w:r>
        <w:rPr>
          <w:rFonts w:eastAsia="Times New Roman" w:cs="Arial"/>
        </w:rPr>
        <w:t>,</w:t>
      </w:r>
      <w:r w:rsidRPr="00024A73">
        <w:rPr>
          <w:rFonts w:eastAsia="Times New Roman" w:cs="Arial"/>
        </w:rPr>
        <w:t xml:space="preserve"> Total Resource Cost</w:t>
      </w:r>
      <w:r>
        <w:rPr>
          <w:rFonts w:eastAsia="Times New Roman" w:cs="Arial"/>
        </w:rPr>
        <w:t xml:space="preserve"> (“TRC”)</w:t>
      </w:r>
      <w:r w:rsidRPr="00024A73">
        <w:rPr>
          <w:rFonts w:eastAsia="Times New Roman" w:cs="Arial"/>
        </w:rPr>
        <w:t xml:space="preserve"> Test results declined and Ratepayer Impact Measure</w:t>
      </w:r>
      <w:r>
        <w:rPr>
          <w:rFonts w:eastAsia="Times New Roman" w:cs="Arial"/>
        </w:rPr>
        <w:t xml:space="preserve"> (“RIM”)</w:t>
      </w:r>
      <w:r w:rsidRPr="00024A73">
        <w:rPr>
          <w:rFonts w:eastAsia="Times New Roman" w:cs="Arial"/>
        </w:rPr>
        <w:t xml:space="preserve"> Test results worsened</w:t>
      </w:r>
      <w:r w:rsidR="004775FE">
        <w:rPr>
          <w:rFonts w:eastAsia="Times New Roman" w:cs="Arial"/>
        </w:rPr>
        <w:t>,</w:t>
      </w:r>
      <w:r>
        <w:rPr>
          <w:rFonts w:eastAsia="Times New Roman" w:cs="Arial"/>
        </w:rPr>
        <w:t xml:space="preserve"> raising </w:t>
      </w:r>
      <w:r w:rsidRPr="00024A73">
        <w:rPr>
          <w:rFonts w:eastAsia="Times New Roman" w:cs="Arial"/>
        </w:rPr>
        <w:t xml:space="preserve">concerns for the Company in its effort to balance the economic benefits these programs provide </w:t>
      </w:r>
      <w:r>
        <w:rPr>
          <w:rFonts w:eastAsia="Times New Roman" w:cs="Arial"/>
        </w:rPr>
        <w:t>to</w:t>
      </w:r>
      <w:r w:rsidRPr="00024A73">
        <w:rPr>
          <w:rFonts w:eastAsia="Times New Roman" w:cs="Arial"/>
        </w:rPr>
        <w:t xml:space="preserve"> participating customers with the rate impacts to all customers within a given class. Nevertheless, the Company supports the continuation of all but two of the energy efficiency programs included in the 2016 DSM Certification filing and seeks to certify a residential demand response program, </w:t>
      </w:r>
      <w:r>
        <w:rPr>
          <w:rFonts w:eastAsia="Times New Roman" w:cs="Arial"/>
        </w:rPr>
        <w:t>a</w:t>
      </w:r>
      <w:r w:rsidR="00893F11">
        <w:rPr>
          <w:rFonts w:eastAsia="Times New Roman" w:cs="Arial"/>
        </w:rPr>
        <w:t xml:space="preserve"> residential </w:t>
      </w:r>
      <w:r w:rsidRPr="00024A73">
        <w:rPr>
          <w:rFonts w:eastAsia="Times New Roman" w:cs="Arial"/>
        </w:rPr>
        <w:t>Income</w:t>
      </w:r>
      <w:r>
        <w:rPr>
          <w:rFonts w:eastAsia="Times New Roman" w:cs="Arial"/>
        </w:rPr>
        <w:t>-</w:t>
      </w:r>
      <w:r w:rsidRPr="00024A73">
        <w:rPr>
          <w:rFonts w:eastAsia="Times New Roman" w:cs="Arial"/>
        </w:rPr>
        <w:t xml:space="preserve">Qualified program, and a Commercial Behavioral program. The Company plans to continue to monitor program costs and economics </w:t>
      </w:r>
      <w:r>
        <w:rPr>
          <w:rFonts w:eastAsia="Times New Roman" w:cs="Arial"/>
        </w:rPr>
        <w:t xml:space="preserve">through 2021 </w:t>
      </w:r>
      <w:r w:rsidRPr="00024A73">
        <w:rPr>
          <w:rFonts w:eastAsia="Times New Roman" w:cs="Arial"/>
        </w:rPr>
        <w:t>and will be prepared to modify programs if the significant upward pressure on rates continues. Summary information for two alternative DSM sensitivity cases is also included in this filing. One alternative sensitivity case, the “Advocacy Case,” presents a potential set of DSM programs designed</w:t>
      </w:r>
      <w:r>
        <w:rPr>
          <w:rFonts w:eastAsia="Times New Roman" w:cs="Arial"/>
        </w:rPr>
        <w:t xml:space="preserve"> based on</w:t>
      </w:r>
      <w:r w:rsidRPr="00024A73">
        <w:rPr>
          <w:rFonts w:eastAsia="Times New Roman" w:cs="Arial"/>
        </w:rPr>
        <w:t xml:space="preserve"> the recommendations from members of the DSMWG. The other alternative sensitivity case represents the “Aggressiv</w:t>
      </w:r>
      <w:r>
        <w:rPr>
          <w:rFonts w:eastAsia="Times New Roman" w:cs="Arial"/>
        </w:rPr>
        <w:t>e Case” that i</w:t>
      </w:r>
      <w:r w:rsidRPr="00024A73">
        <w:rPr>
          <w:rFonts w:eastAsia="Times New Roman" w:cs="Arial"/>
        </w:rPr>
        <w:t xml:space="preserve">s </w:t>
      </w:r>
      <w:r>
        <w:rPr>
          <w:rFonts w:eastAsia="Times New Roman" w:cs="Arial"/>
        </w:rPr>
        <w:t xml:space="preserve">required </w:t>
      </w:r>
      <w:r w:rsidRPr="00024A73">
        <w:rPr>
          <w:rFonts w:eastAsia="Times New Roman" w:cs="Arial"/>
        </w:rPr>
        <w:t xml:space="preserve">in the </w:t>
      </w:r>
      <w:r>
        <w:rPr>
          <w:rFonts w:eastAsia="Times New Roman" w:cs="Arial"/>
        </w:rPr>
        <w:t>DSM Program Planning Approach.</w:t>
      </w:r>
    </w:p>
    <w:p w14:paraId="18BFE350" w14:textId="77E4BC9A" w:rsidR="00B906EA" w:rsidRPr="00B906EA" w:rsidRDefault="00901DF3" w:rsidP="00A7180F">
      <w:pPr>
        <w:pStyle w:val="Heading2"/>
      </w:pPr>
      <w:bookmarkStart w:id="14" w:name="_Toc536209112"/>
      <w:bookmarkEnd w:id="13"/>
      <w:r>
        <w:t>Supply-Side Strategy</w:t>
      </w:r>
      <w:bookmarkEnd w:id="14"/>
    </w:p>
    <w:p w14:paraId="1B889F1F" w14:textId="74AF7F0A" w:rsidR="009D325B" w:rsidRDefault="00B906EA" w:rsidP="00E1613D">
      <w:r>
        <w:t xml:space="preserve">Georgia Power’s proposed supply-side plan, </w:t>
      </w:r>
      <w:r w:rsidR="00B0514A">
        <w:t xml:space="preserve">further expounded upon in this chapter, </w:t>
      </w:r>
      <w:r>
        <w:t>will provide cost-effective and reliable sources of capacity and energy to meet Georgia Power’s customers’ needs now and into the future</w:t>
      </w:r>
      <w:r w:rsidR="002A47D8">
        <w:t xml:space="preserve">. </w:t>
      </w:r>
      <w:r w:rsidR="00B0514A">
        <w:t>T</w:t>
      </w:r>
      <w:r w:rsidR="006C659A">
        <w:t xml:space="preserve">he </w:t>
      </w:r>
      <w:r w:rsidR="008E4CA1">
        <w:t>supply-</w:t>
      </w:r>
      <w:r w:rsidR="006C659A">
        <w:t>side</w:t>
      </w:r>
      <w:r w:rsidR="008E4CA1">
        <w:t xml:space="preserve"> strategy</w:t>
      </w:r>
      <w:r w:rsidR="006C659A">
        <w:t xml:space="preserve"> includes both certification requests for new capacity </w:t>
      </w:r>
      <w:r w:rsidR="00651DD6">
        <w:t xml:space="preserve">as </w:t>
      </w:r>
      <w:r w:rsidR="006C659A">
        <w:t>well as decertification requests.</w:t>
      </w:r>
      <w:r w:rsidR="00D16FCC">
        <w:t xml:space="preserve"> </w:t>
      </w:r>
      <w:r w:rsidR="002A47D8">
        <w:t>Th</w:t>
      </w:r>
      <w:r w:rsidR="00953D6E">
        <w:t xml:space="preserve">e </w:t>
      </w:r>
      <w:r w:rsidR="00D16FCC">
        <w:t xml:space="preserve">planned and committed </w:t>
      </w:r>
      <w:r w:rsidR="00953D6E">
        <w:t>resources in th</w:t>
      </w:r>
      <w:r w:rsidR="002A47D8">
        <w:t xml:space="preserve">is </w:t>
      </w:r>
      <w:r w:rsidR="00953D6E">
        <w:t>IRP</w:t>
      </w:r>
      <w:r w:rsidR="002A47D8">
        <w:t xml:space="preserve"> provide for adequate reserves until </w:t>
      </w:r>
      <w:r w:rsidR="00CF180B">
        <w:t xml:space="preserve">2028 at which point the Company </w:t>
      </w:r>
      <w:r w:rsidR="00241CF9">
        <w:t xml:space="preserve">is currently projected to </w:t>
      </w:r>
      <w:r w:rsidR="008E4CA1">
        <w:t xml:space="preserve">have </w:t>
      </w:r>
      <w:r w:rsidR="00CF180B">
        <w:t xml:space="preserve">a capacity need. </w:t>
      </w:r>
      <w:r w:rsidR="00953D6E">
        <w:t>However</w:t>
      </w:r>
      <w:r w:rsidR="00CF180B">
        <w:t xml:space="preserve">, as discussed further in this chapter and in </w:t>
      </w:r>
      <w:r w:rsidR="009206B9">
        <w:fldChar w:fldCharType="begin"/>
      </w:r>
      <w:r w:rsidR="009206B9">
        <w:instrText xml:space="preserve"> REF _Ref531354561 \r \h </w:instrText>
      </w:r>
      <w:r w:rsidR="009206B9">
        <w:fldChar w:fldCharType="separate"/>
      </w:r>
      <w:r w:rsidR="00F33DA2">
        <w:t>CHAPTER 10</w:t>
      </w:r>
      <w:r w:rsidR="009206B9">
        <w:fldChar w:fldCharType="end"/>
      </w:r>
      <w:r w:rsidR="00CF180B">
        <w:t xml:space="preserve">, </w:t>
      </w:r>
      <w:r w:rsidR="00953D6E">
        <w:t xml:space="preserve">the Company </w:t>
      </w:r>
      <w:r w:rsidR="00650D4C">
        <w:t xml:space="preserve">may </w:t>
      </w:r>
      <w:r w:rsidR="00953D6E">
        <w:t xml:space="preserve">encounter a capacity need prior to </w:t>
      </w:r>
      <w:r w:rsidR="00BF5B22">
        <w:t xml:space="preserve">2028 due to potential </w:t>
      </w:r>
      <w:r w:rsidR="00650D4C">
        <w:t xml:space="preserve">unit </w:t>
      </w:r>
      <w:r w:rsidR="00BF5B22">
        <w:t xml:space="preserve">retirements. </w:t>
      </w:r>
      <w:r w:rsidR="00CF180B">
        <w:t>To satisfy capacity needs</w:t>
      </w:r>
      <w:r w:rsidR="00E703BE">
        <w:t xml:space="preserve"> and maintain reliable electric service</w:t>
      </w:r>
      <w:r w:rsidR="00CF180B">
        <w:t xml:space="preserve">, the Company </w:t>
      </w:r>
      <w:r w:rsidR="00650D4C">
        <w:t xml:space="preserve">plans </w:t>
      </w:r>
      <w:r w:rsidR="00CF180B">
        <w:t>to issue two capacity-based RFP</w:t>
      </w:r>
      <w:r w:rsidR="00181907">
        <w:t>s</w:t>
      </w:r>
      <w:r w:rsidR="00953D6E">
        <w:t>.</w:t>
      </w:r>
    </w:p>
    <w:p w14:paraId="231D204A" w14:textId="027A644A" w:rsidR="00953D6E" w:rsidRDefault="00E97AA1" w:rsidP="009D325B">
      <w:r>
        <w:t>A</w:t>
      </w:r>
      <w:r w:rsidR="00BF1A88">
        <w:t xml:space="preserve">s further addressed in </w:t>
      </w:r>
      <w:r w:rsidR="009206B9">
        <w:fldChar w:fldCharType="begin"/>
      </w:r>
      <w:r w:rsidR="009206B9">
        <w:instrText xml:space="preserve"> REF _Ref527048130 \r \h </w:instrText>
      </w:r>
      <w:r w:rsidR="009206B9">
        <w:fldChar w:fldCharType="separate"/>
      </w:r>
      <w:r w:rsidR="00F33DA2">
        <w:t>CHAPTER 9</w:t>
      </w:r>
      <w:r w:rsidR="009206B9">
        <w:fldChar w:fldCharType="end"/>
      </w:r>
      <w:r w:rsidR="00BF1A88">
        <w:t xml:space="preserve">, </w:t>
      </w:r>
      <w:r w:rsidR="009D325B">
        <w:t xml:space="preserve">Georgia Power conducted </w:t>
      </w:r>
      <w:r w:rsidR="00BF1A88">
        <w:t>a</w:t>
      </w:r>
      <w:r w:rsidR="009D325B">
        <w:t xml:space="preserve"> review of its hydro fleet and determined that essential </w:t>
      </w:r>
      <w:r w:rsidR="00D16FCC">
        <w:t xml:space="preserve">components </w:t>
      </w:r>
      <w:r w:rsidR="009D325B">
        <w:t xml:space="preserve">of several facilities are </w:t>
      </w:r>
      <w:r w:rsidR="00D16FCC">
        <w:t>at or near</w:t>
      </w:r>
      <w:r w:rsidR="009D325B">
        <w:t xml:space="preserve"> the end of their useful lives</w:t>
      </w:r>
      <w:r w:rsidR="003123A3">
        <w:t>,</w:t>
      </w:r>
      <w:r w:rsidR="009D325B">
        <w:t xml:space="preserve"> </w:t>
      </w:r>
      <w:r w:rsidR="003123A3">
        <w:t>requiring</w:t>
      </w:r>
      <w:r w:rsidR="009D325B">
        <w:t xml:space="preserve"> additional investment to continue their operation. These investments will improve the </w:t>
      </w:r>
      <w:r w:rsidR="00B831EF">
        <w:t xml:space="preserve">overall </w:t>
      </w:r>
      <w:r w:rsidR="009D325B">
        <w:t xml:space="preserve">efficiency, integrity, and safety of the hydro fleet </w:t>
      </w:r>
      <w:r w:rsidR="00B831EF">
        <w:t>while</w:t>
      </w:r>
      <w:r w:rsidR="009D325B">
        <w:t xml:space="preserve"> preserv</w:t>
      </w:r>
      <w:r w:rsidR="00B831EF">
        <w:t>ing</w:t>
      </w:r>
      <w:r w:rsidR="009D325B">
        <w:t xml:space="preserve"> these valuable carbon-free resources for the </w:t>
      </w:r>
      <w:r w:rsidR="005231A3">
        <w:t xml:space="preserve">long-term </w:t>
      </w:r>
      <w:r w:rsidR="009D325B">
        <w:t>benefit of customers.</w:t>
      </w:r>
      <w:r w:rsidR="00D16FCC">
        <w:t xml:space="preserve"> </w:t>
      </w:r>
      <w:r w:rsidR="003123A3">
        <w:t>For example, the new investments for Plant Goat Rock will improve reliability, correct for water flow imbalances along the Chattahoochee River, and result in capacity increases as requested in the Company’s certification application.</w:t>
      </w:r>
    </w:p>
    <w:p w14:paraId="199CEB33" w14:textId="66EF06D7" w:rsidR="006060DA" w:rsidRPr="006060DA" w:rsidRDefault="00D11CFB" w:rsidP="009D325B">
      <w:pPr>
        <w:rPr>
          <w:rFonts w:asciiTheme="minorHAnsi" w:eastAsia="Times New Roman" w:hAnsiTheme="minorHAnsi" w:cstheme="minorHAnsi"/>
        </w:rPr>
      </w:pPr>
      <w:r>
        <w:rPr>
          <w:rFonts w:asciiTheme="minorHAnsi" w:eastAsia="Times New Roman" w:hAnsiTheme="minorHAnsi" w:cstheme="minorHAnsi"/>
        </w:rPr>
        <w:t>T</w:t>
      </w:r>
      <w:r w:rsidR="00D769A5" w:rsidRPr="00D769A5">
        <w:rPr>
          <w:rFonts w:asciiTheme="minorHAnsi" w:eastAsia="Times New Roman" w:hAnsiTheme="minorHAnsi" w:cstheme="minorHAnsi"/>
        </w:rPr>
        <w:t xml:space="preserve">he Company also proposes to invest in energy storage technologies that can be deployed both independently and in tandem with solar resources, so Georgia Power can continue to improve its understanding and expertise related to energy storage technologies </w:t>
      </w:r>
      <w:r w:rsidR="004775FE">
        <w:rPr>
          <w:rFonts w:asciiTheme="minorHAnsi" w:eastAsia="Times New Roman" w:hAnsiTheme="minorHAnsi" w:cstheme="minorHAnsi"/>
        </w:rPr>
        <w:t>for</w:t>
      </w:r>
      <w:r w:rsidR="00D769A5" w:rsidRPr="00D769A5">
        <w:rPr>
          <w:rFonts w:asciiTheme="minorHAnsi" w:eastAsia="Times New Roman" w:hAnsiTheme="minorHAnsi" w:cstheme="minorHAnsi"/>
        </w:rPr>
        <w:t xml:space="preserve"> the benefit of customers.</w:t>
      </w:r>
      <w:r>
        <w:rPr>
          <w:rFonts w:asciiTheme="minorHAnsi" w:eastAsia="Times New Roman" w:hAnsiTheme="minorHAnsi" w:cstheme="minorHAnsi"/>
        </w:rPr>
        <w:t xml:space="preserve"> The deployment</w:t>
      </w:r>
      <w:r w:rsidR="009A007B">
        <w:rPr>
          <w:rFonts w:asciiTheme="minorHAnsi" w:eastAsia="Times New Roman" w:hAnsiTheme="minorHAnsi" w:cstheme="minorHAnsi"/>
        </w:rPr>
        <w:t xml:space="preserve"> of these energy storage projects is further d</w:t>
      </w:r>
      <w:r w:rsidR="009A007B" w:rsidRPr="004E66C2">
        <w:rPr>
          <w:rFonts w:asciiTheme="minorHAnsi" w:eastAsia="Times New Roman" w:hAnsiTheme="minorHAnsi" w:cstheme="minorHAnsi"/>
        </w:rPr>
        <w:t xml:space="preserve">iscussed in </w:t>
      </w:r>
      <w:r w:rsidR="009A007B">
        <w:rPr>
          <w:rFonts w:asciiTheme="minorHAnsi" w:eastAsia="Times New Roman" w:hAnsiTheme="minorHAnsi" w:cstheme="minorHAnsi"/>
        </w:rPr>
        <w:fldChar w:fldCharType="begin"/>
      </w:r>
      <w:r w:rsidR="009A007B">
        <w:rPr>
          <w:rFonts w:asciiTheme="minorHAnsi" w:eastAsia="Times New Roman" w:hAnsiTheme="minorHAnsi" w:cstheme="minorHAnsi"/>
        </w:rPr>
        <w:instrText xml:space="preserve"> REF _Ref531354561 \r \h </w:instrText>
      </w:r>
      <w:r w:rsidR="009A007B">
        <w:rPr>
          <w:rFonts w:asciiTheme="minorHAnsi" w:eastAsia="Times New Roman" w:hAnsiTheme="minorHAnsi" w:cstheme="minorHAnsi"/>
        </w:rPr>
      </w:r>
      <w:r w:rsidR="009A007B">
        <w:rPr>
          <w:rFonts w:asciiTheme="minorHAnsi" w:eastAsia="Times New Roman" w:hAnsiTheme="minorHAnsi" w:cstheme="minorHAnsi"/>
        </w:rPr>
        <w:fldChar w:fldCharType="separate"/>
      </w:r>
      <w:r w:rsidR="00F33DA2">
        <w:rPr>
          <w:rFonts w:asciiTheme="minorHAnsi" w:eastAsia="Times New Roman" w:hAnsiTheme="minorHAnsi" w:cstheme="minorHAnsi"/>
        </w:rPr>
        <w:t>CHAPTER 10</w:t>
      </w:r>
      <w:r w:rsidR="009A007B">
        <w:rPr>
          <w:rFonts w:asciiTheme="minorHAnsi" w:eastAsia="Times New Roman" w:hAnsiTheme="minorHAnsi" w:cstheme="minorHAnsi"/>
        </w:rPr>
        <w:fldChar w:fldCharType="end"/>
      </w:r>
      <w:r w:rsidR="009A007B">
        <w:rPr>
          <w:rFonts w:asciiTheme="minorHAnsi" w:eastAsia="Times New Roman" w:hAnsiTheme="minorHAnsi" w:cstheme="minorHAnsi"/>
        </w:rPr>
        <w:t>.</w:t>
      </w:r>
    </w:p>
    <w:p w14:paraId="0E6EFBE9" w14:textId="783358F6" w:rsidR="00B906EA" w:rsidRPr="00A81207" w:rsidRDefault="00B906EA" w:rsidP="00A7180F">
      <w:pPr>
        <w:pStyle w:val="Heading2"/>
      </w:pPr>
      <w:bookmarkStart w:id="15" w:name="_Toc536209113"/>
      <w:bookmarkStart w:id="16" w:name="_Hlk531701988"/>
      <w:r>
        <w:t xml:space="preserve">Renewable </w:t>
      </w:r>
      <w:r w:rsidR="00324A2B">
        <w:t>Resources</w:t>
      </w:r>
      <w:bookmarkEnd w:id="15"/>
    </w:p>
    <w:p w14:paraId="52C2DBA8" w14:textId="1E1D168D" w:rsidR="00B906EA" w:rsidRDefault="0037236F" w:rsidP="00B906EA">
      <w:r w:rsidRPr="001F473E">
        <w:rPr>
          <w:rFonts w:eastAsia="Arial" w:cs="Times New Roman"/>
          <w:color w:val="4D4D4D"/>
        </w:rPr>
        <w:t xml:space="preserve">Georgia is recognized as a national leader </w:t>
      </w:r>
      <w:r w:rsidR="00322FEF">
        <w:rPr>
          <w:rFonts w:eastAsia="Arial" w:cs="Times New Roman"/>
          <w:color w:val="4D4D4D"/>
        </w:rPr>
        <w:t>in the development of</w:t>
      </w:r>
      <w:r w:rsidRPr="001F473E">
        <w:rPr>
          <w:rFonts w:eastAsia="Arial" w:cs="Times New Roman"/>
          <w:color w:val="4D4D4D"/>
        </w:rPr>
        <w:t xml:space="preserve"> </w:t>
      </w:r>
      <w:r w:rsidR="005231A3">
        <w:rPr>
          <w:rFonts w:eastAsia="Arial" w:cs="Times New Roman"/>
          <w:color w:val="4D4D4D"/>
        </w:rPr>
        <w:t xml:space="preserve">cost-effective </w:t>
      </w:r>
      <w:r w:rsidRPr="001F473E">
        <w:rPr>
          <w:rFonts w:eastAsia="Arial" w:cs="Times New Roman"/>
          <w:color w:val="4D4D4D"/>
        </w:rPr>
        <w:t xml:space="preserve">renewable </w:t>
      </w:r>
      <w:r w:rsidR="00322FEF" w:rsidRPr="001F473E">
        <w:rPr>
          <w:rFonts w:eastAsia="Arial" w:cs="Times New Roman"/>
          <w:color w:val="4D4D4D"/>
        </w:rPr>
        <w:t>resources</w:t>
      </w:r>
      <w:r w:rsidR="005231A3">
        <w:rPr>
          <w:rFonts w:eastAsia="Arial" w:cs="Times New Roman"/>
          <w:color w:val="4D4D4D"/>
        </w:rPr>
        <w:t xml:space="preserve"> without a renewable portfolio standard </w:t>
      </w:r>
      <w:r w:rsidR="00CA612C">
        <w:rPr>
          <w:rFonts w:eastAsia="Arial" w:cs="Times New Roman"/>
          <w:color w:val="4D4D4D"/>
        </w:rPr>
        <w:t xml:space="preserve">(“RPS”) </w:t>
      </w:r>
      <w:r w:rsidR="005231A3">
        <w:rPr>
          <w:rFonts w:eastAsia="Arial" w:cs="Times New Roman"/>
          <w:color w:val="4D4D4D"/>
        </w:rPr>
        <w:t>or mandate</w:t>
      </w:r>
      <w:r w:rsidR="00322FEF">
        <w:rPr>
          <w:rFonts w:eastAsia="Arial" w:cs="Times New Roman"/>
          <w:color w:val="4D4D4D"/>
        </w:rPr>
        <w:t>.</w:t>
      </w:r>
      <w:r w:rsidR="00322FEF" w:rsidRPr="001F473E">
        <w:rPr>
          <w:rFonts w:eastAsia="Arial" w:cs="Times New Roman"/>
          <w:color w:val="4D4D4D"/>
        </w:rPr>
        <w:t xml:space="preserve"> Through</w:t>
      </w:r>
      <w:r w:rsidR="00322FEF">
        <w:rPr>
          <w:rFonts w:eastAsia="Arial" w:cs="Times New Roman"/>
          <w:color w:val="4D4D4D"/>
        </w:rPr>
        <w:t xml:space="preserve"> the leadership of the</w:t>
      </w:r>
      <w:r w:rsidRPr="001F473E">
        <w:rPr>
          <w:rFonts w:eastAsia="Arial" w:cs="Times New Roman"/>
          <w:color w:val="4D4D4D"/>
        </w:rPr>
        <w:t xml:space="preserve"> </w:t>
      </w:r>
      <w:r w:rsidR="003B57FF">
        <w:rPr>
          <w:rFonts w:eastAsia="Arial" w:cs="Times New Roman"/>
          <w:color w:val="4D4D4D"/>
        </w:rPr>
        <w:t>Commission</w:t>
      </w:r>
      <w:r w:rsidR="004775FE">
        <w:rPr>
          <w:rFonts w:eastAsia="Arial" w:cs="Times New Roman"/>
          <w:color w:val="4D4D4D"/>
        </w:rPr>
        <w:t xml:space="preserve"> </w:t>
      </w:r>
      <w:r w:rsidR="003B57FF">
        <w:rPr>
          <w:rFonts w:eastAsia="Arial" w:cs="Times New Roman"/>
          <w:color w:val="4D4D4D"/>
        </w:rPr>
        <w:t>and</w:t>
      </w:r>
      <w:r w:rsidR="00322FEF">
        <w:rPr>
          <w:rFonts w:eastAsia="Arial" w:cs="Times New Roman"/>
          <w:color w:val="4D4D4D"/>
        </w:rPr>
        <w:t xml:space="preserve"> collaboration with stakeholders,</w:t>
      </w:r>
      <w:r w:rsidR="003B57FF">
        <w:rPr>
          <w:rFonts w:eastAsia="Arial" w:cs="Times New Roman"/>
          <w:color w:val="4D4D4D"/>
        </w:rPr>
        <w:t xml:space="preserve"> </w:t>
      </w:r>
      <w:r w:rsidRPr="001F473E">
        <w:rPr>
          <w:rFonts w:eastAsia="Arial" w:cs="Times New Roman"/>
          <w:color w:val="4D4D4D"/>
        </w:rPr>
        <w:t xml:space="preserve">Georgia </w:t>
      </w:r>
      <w:r w:rsidRPr="00BF3D6B">
        <w:rPr>
          <w:rFonts w:eastAsia="Arial" w:cs="Times New Roman"/>
          <w:color w:val="4D4D4D"/>
        </w:rPr>
        <w:t xml:space="preserve">Power </w:t>
      </w:r>
      <w:r w:rsidR="00324A2B">
        <w:rPr>
          <w:rFonts w:eastAsia="Arial" w:cs="Times New Roman"/>
          <w:color w:val="4D4D4D"/>
        </w:rPr>
        <w:t>expects to</w:t>
      </w:r>
      <w:r w:rsidR="00324A2B" w:rsidRPr="00BF3D6B">
        <w:rPr>
          <w:rFonts w:eastAsia="Arial" w:cs="Times New Roman"/>
          <w:color w:val="4D4D4D"/>
        </w:rPr>
        <w:t xml:space="preserve"> </w:t>
      </w:r>
      <w:r w:rsidRPr="00BF3D6B">
        <w:rPr>
          <w:rFonts w:eastAsia="Arial" w:cs="Times New Roman"/>
          <w:color w:val="4D4D4D"/>
        </w:rPr>
        <w:t xml:space="preserve">have approximately 3.1 gigawatts (“GW”) of renewable resource capacity </w:t>
      </w:r>
      <w:r w:rsidR="007A5373">
        <w:rPr>
          <w:rFonts w:eastAsia="Arial" w:cs="Times New Roman"/>
          <w:color w:val="4D4D4D"/>
        </w:rPr>
        <w:t xml:space="preserve">online </w:t>
      </w:r>
      <w:r w:rsidRPr="00BF3D6B">
        <w:rPr>
          <w:rFonts w:eastAsia="Arial" w:cs="Times New Roman"/>
          <w:color w:val="4D4D4D"/>
        </w:rPr>
        <w:t>by the end of 2021</w:t>
      </w:r>
      <w:r w:rsidR="00324A2B">
        <w:rPr>
          <w:rFonts w:eastAsia="Arial" w:cs="Times New Roman"/>
          <w:color w:val="4D4D4D"/>
        </w:rPr>
        <w:t xml:space="preserve"> through currently approved projects</w:t>
      </w:r>
      <w:r w:rsidRPr="00BF3D6B">
        <w:rPr>
          <w:rFonts w:eastAsia="Arial" w:cs="Times New Roman"/>
          <w:color w:val="4D4D4D"/>
        </w:rPr>
        <w:t>. This portfolio of renewable resources includes</w:t>
      </w:r>
      <w:r w:rsidR="00322FEF" w:rsidRPr="00BF3D6B">
        <w:rPr>
          <w:rFonts w:eastAsia="Arial" w:cs="Times New Roman"/>
          <w:color w:val="4D4D4D"/>
        </w:rPr>
        <w:t xml:space="preserve"> approximately</w:t>
      </w:r>
      <w:r w:rsidRPr="00BF3D6B">
        <w:rPr>
          <w:rFonts w:eastAsia="Arial" w:cs="Times New Roman"/>
          <w:color w:val="4D4D4D"/>
        </w:rPr>
        <w:t xml:space="preserve"> 3</w:t>
      </w:r>
      <w:r w:rsidR="008F244F" w:rsidRPr="00BF3D6B">
        <w:rPr>
          <w:rFonts w:eastAsia="Arial" w:cs="Times New Roman"/>
          <w:color w:val="4D4D4D"/>
        </w:rPr>
        <w:t>4</w:t>
      </w:r>
      <w:r w:rsidRPr="00BF3D6B">
        <w:rPr>
          <w:rFonts w:eastAsia="Arial" w:cs="Times New Roman"/>
          <w:color w:val="4D4D4D"/>
        </w:rPr>
        <w:t>0 MW of biomass and landfill g</w:t>
      </w:r>
      <w:r w:rsidRPr="001F473E">
        <w:rPr>
          <w:rFonts w:eastAsia="Arial" w:cs="Times New Roman"/>
          <w:color w:val="4D4D4D"/>
        </w:rPr>
        <w:t xml:space="preserve">as, 250 MW of wind, and </w:t>
      </w:r>
      <w:r w:rsidR="00650D4C">
        <w:rPr>
          <w:rFonts w:eastAsia="Arial" w:cs="Times New Roman"/>
          <w:color w:val="4D4D4D"/>
        </w:rPr>
        <w:t>more than</w:t>
      </w:r>
      <w:r w:rsidR="00650D4C" w:rsidDel="00650D4C">
        <w:rPr>
          <w:rFonts w:eastAsia="Arial" w:cs="Times New Roman"/>
          <w:color w:val="4D4D4D"/>
        </w:rPr>
        <w:t xml:space="preserve"> </w:t>
      </w:r>
      <w:r w:rsidRPr="001F473E">
        <w:rPr>
          <w:rFonts w:eastAsia="Arial" w:cs="Times New Roman"/>
          <w:color w:val="4D4D4D"/>
        </w:rPr>
        <w:t>2.5 GW of solar resources, which</w:t>
      </w:r>
      <w:r w:rsidR="00651DD6">
        <w:rPr>
          <w:rFonts w:eastAsia="Arial" w:cs="Times New Roman"/>
          <w:color w:val="4D4D4D"/>
        </w:rPr>
        <w:t xml:space="preserve"> currently</w:t>
      </w:r>
      <w:r w:rsidRPr="001F473E">
        <w:rPr>
          <w:rFonts w:eastAsia="Arial" w:cs="Times New Roman"/>
          <w:color w:val="4D4D4D"/>
        </w:rPr>
        <w:t xml:space="preserve"> represents </w:t>
      </w:r>
      <w:r w:rsidR="002C556B">
        <w:rPr>
          <w:rFonts w:eastAsia="Arial" w:cs="Times New Roman"/>
          <w:color w:val="4D4D4D"/>
        </w:rPr>
        <w:t xml:space="preserve">one of </w:t>
      </w:r>
      <w:r w:rsidR="00650D4C" w:rsidRPr="001F473E">
        <w:rPr>
          <w:rFonts w:eastAsia="Arial" w:cs="Times New Roman"/>
          <w:color w:val="4D4D4D"/>
        </w:rPr>
        <w:t xml:space="preserve">the </w:t>
      </w:r>
      <w:r w:rsidR="00650D4C">
        <w:t>largest voluntary solar p</w:t>
      </w:r>
      <w:r w:rsidR="00B906EA">
        <w:t>ortfolio</w:t>
      </w:r>
      <w:r w:rsidR="002C556B">
        <w:t>s</w:t>
      </w:r>
      <w:r w:rsidR="00B906EA">
        <w:t xml:space="preserve"> in the natio</w:t>
      </w:r>
      <w:r w:rsidR="0081458D">
        <w:t>n for an investor-owned utility.</w:t>
      </w:r>
      <w:r w:rsidR="0081458D">
        <w:rPr>
          <w:rStyle w:val="FootnoteReference"/>
        </w:rPr>
        <w:footnoteReference w:id="1"/>
      </w:r>
      <w:r w:rsidR="0081458D">
        <w:t xml:space="preserve"> </w:t>
      </w:r>
    </w:p>
    <w:p w14:paraId="231A8236" w14:textId="32375F0C" w:rsidR="00903805" w:rsidRDefault="003123A3" w:rsidP="006E1304">
      <w:pPr>
        <w:rPr>
          <w:rFonts w:asciiTheme="minorHAnsi" w:eastAsia="Times New Roman" w:hAnsiTheme="minorHAnsi" w:cstheme="minorHAnsi"/>
        </w:rPr>
      </w:pPr>
      <w:r>
        <w:t xml:space="preserve">The 2019 IRP </w:t>
      </w:r>
      <w:r w:rsidR="00322FEF">
        <w:t>continue</w:t>
      </w:r>
      <w:r>
        <w:t>s</w:t>
      </w:r>
      <w:r w:rsidR="00322FEF">
        <w:t xml:space="preserve"> the </w:t>
      </w:r>
      <w:r w:rsidR="00816179">
        <w:t>steady approach</w:t>
      </w:r>
      <w:r w:rsidR="00322FEF">
        <w:t xml:space="preserve"> of adding </w:t>
      </w:r>
      <w:r w:rsidR="009B2057">
        <w:t xml:space="preserve">renewable </w:t>
      </w:r>
      <w:r w:rsidR="00322FEF">
        <w:t>resources projected to create long term savings</w:t>
      </w:r>
      <w:r w:rsidR="00816179">
        <w:t xml:space="preserve"> for customers</w:t>
      </w:r>
      <w:r w:rsidR="00322FEF">
        <w:t xml:space="preserve"> </w:t>
      </w:r>
      <w:r>
        <w:t xml:space="preserve">by procuring </w:t>
      </w:r>
      <w:r w:rsidR="00B906EA">
        <w:t xml:space="preserve">an additional </w:t>
      </w:r>
      <w:r w:rsidR="001E188D">
        <w:t>1,000 MW of renewable</w:t>
      </w:r>
      <w:r w:rsidR="00255BBB">
        <w:t xml:space="preserve"> resources</w:t>
      </w:r>
      <w:r w:rsidR="00816179">
        <w:t xml:space="preserve">. </w:t>
      </w:r>
      <w:r w:rsidR="005231A3">
        <w:t>To maximize benefits for customers, t</w:t>
      </w:r>
      <w:r w:rsidR="00816179">
        <w:t>hese resources will be procured t</w:t>
      </w:r>
      <w:r w:rsidR="00B906EA">
        <w:t>hrough a competitive bidding process</w:t>
      </w:r>
      <w:r w:rsidR="00816179">
        <w:t xml:space="preserve"> and evaluated</w:t>
      </w:r>
      <w:r w:rsidR="003F41E4">
        <w:t xml:space="preserve"> utilizing</w:t>
      </w:r>
      <w:r w:rsidR="00816179">
        <w:t xml:space="preserve"> </w:t>
      </w:r>
      <w:r w:rsidR="00651DD6">
        <w:t>the</w:t>
      </w:r>
      <w:r w:rsidR="00D93B77">
        <w:t xml:space="preserve"> </w:t>
      </w:r>
      <w:r w:rsidR="00D93B77">
        <w:rPr>
          <w:rFonts w:asciiTheme="minorHAnsi" w:eastAsia="Times New Roman" w:hAnsiTheme="minorHAnsi" w:cstheme="minorHAnsi"/>
        </w:rPr>
        <w:t>Renewable Cost Bene</w:t>
      </w:r>
      <w:r w:rsidR="005C4501">
        <w:rPr>
          <w:rFonts w:asciiTheme="minorHAnsi" w:eastAsia="Times New Roman" w:hAnsiTheme="minorHAnsi" w:cstheme="minorHAnsi"/>
        </w:rPr>
        <w:t>fit Framework (“RCB Framework”)</w:t>
      </w:r>
      <w:r w:rsidR="00162428">
        <w:rPr>
          <w:rFonts w:asciiTheme="minorHAnsi" w:eastAsia="Times New Roman" w:hAnsiTheme="minorHAnsi" w:cstheme="minorHAnsi"/>
        </w:rPr>
        <w:t xml:space="preserve"> approved </w:t>
      </w:r>
      <w:r w:rsidR="005231A3">
        <w:rPr>
          <w:rFonts w:asciiTheme="minorHAnsi" w:eastAsia="Times New Roman" w:hAnsiTheme="minorHAnsi" w:cstheme="minorHAnsi"/>
        </w:rPr>
        <w:t xml:space="preserve">by the Commission </w:t>
      </w:r>
      <w:r w:rsidR="00FA6368">
        <w:rPr>
          <w:rFonts w:asciiTheme="minorHAnsi" w:eastAsia="Times New Roman" w:hAnsiTheme="minorHAnsi" w:cstheme="minorHAnsi"/>
        </w:rPr>
        <w:t xml:space="preserve">following </w:t>
      </w:r>
      <w:r w:rsidR="005231A3">
        <w:rPr>
          <w:rFonts w:asciiTheme="minorHAnsi" w:eastAsia="Times New Roman" w:hAnsiTheme="minorHAnsi" w:cstheme="minorHAnsi"/>
        </w:rPr>
        <w:t>the 2016 IRP.</w:t>
      </w:r>
      <w:r w:rsidR="00816179">
        <w:rPr>
          <w:rFonts w:asciiTheme="minorHAnsi" w:eastAsia="Times New Roman" w:hAnsiTheme="minorHAnsi" w:cstheme="minorHAnsi"/>
        </w:rPr>
        <w:t xml:space="preserve"> </w:t>
      </w:r>
      <w:r w:rsidR="00B906EA">
        <w:t>The</w:t>
      </w:r>
      <w:r>
        <w:t>se</w:t>
      </w:r>
      <w:r w:rsidR="00B906EA">
        <w:t xml:space="preserve"> procurement programs </w:t>
      </w:r>
      <w:r w:rsidR="00324A2B">
        <w:t xml:space="preserve">maintain </w:t>
      </w:r>
      <w:r w:rsidR="00322FEF">
        <w:t>the</w:t>
      </w:r>
      <w:r w:rsidR="00B906EA">
        <w:t xml:space="preserve"> customer-focused </w:t>
      </w:r>
      <w:r w:rsidR="00322FEF">
        <w:t xml:space="preserve">strategy of growing renewables to deliver the most benefits for all customers at the </w:t>
      </w:r>
      <w:r w:rsidR="00651DD6">
        <w:t>lowest cost.</w:t>
      </w:r>
      <w:r w:rsidR="00322FEF">
        <w:t xml:space="preserve"> </w:t>
      </w:r>
      <w:r w:rsidR="00651DD6">
        <w:t xml:space="preserve">These programs will </w:t>
      </w:r>
      <w:r w:rsidR="00322FEF">
        <w:t>offer</w:t>
      </w:r>
      <w:r w:rsidR="00B906EA">
        <w:t xml:space="preserve"> </w:t>
      </w:r>
      <w:r w:rsidR="00650585">
        <w:t xml:space="preserve">renewable options that </w:t>
      </w:r>
      <w:r w:rsidR="00324A2B">
        <w:t xml:space="preserve">meet the needs of customers </w:t>
      </w:r>
      <w:r w:rsidR="00650585">
        <w:t>and</w:t>
      </w:r>
      <w:r w:rsidR="00324A2B">
        <w:t xml:space="preserve"> improve the</w:t>
      </w:r>
      <w:r w:rsidR="00650585">
        <w:t xml:space="preserve"> competitiveness of Georgia’s business environment. The new Customer Renewable Supply Procurement (“CRSP”) </w:t>
      </w:r>
      <w:r w:rsidR="0082104B">
        <w:t>p</w:t>
      </w:r>
      <w:r w:rsidR="00650585">
        <w:t>rogram, modeled after the successful commercial and industrial (“C&amp;I”) Renewable Energy Development Initiative (“REDI”) program, will</w:t>
      </w:r>
      <w:r w:rsidR="00650585" w:rsidRPr="00A61CF4">
        <w:rPr>
          <w:rFonts w:asciiTheme="minorHAnsi" w:eastAsia="Times New Roman" w:hAnsiTheme="minorHAnsi" w:cstheme="minorHAnsi"/>
        </w:rPr>
        <w:t xml:space="preserve"> procur</w:t>
      </w:r>
      <w:r w:rsidR="00650585">
        <w:rPr>
          <w:rFonts w:asciiTheme="minorHAnsi" w:eastAsia="Times New Roman" w:hAnsiTheme="minorHAnsi" w:cstheme="minorHAnsi"/>
        </w:rPr>
        <w:t>e</w:t>
      </w:r>
      <w:r w:rsidR="00650585" w:rsidRPr="00A61CF4">
        <w:rPr>
          <w:rFonts w:asciiTheme="minorHAnsi" w:eastAsia="Times New Roman" w:hAnsiTheme="minorHAnsi" w:cstheme="minorHAnsi"/>
        </w:rPr>
        <w:t xml:space="preserve"> </w:t>
      </w:r>
      <w:r w:rsidR="001E188D">
        <w:rPr>
          <w:rFonts w:asciiTheme="minorHAnsi" w:eastAsia="Times New Roman" w:hAnsiTheme="minorHAnsi" w:cstheme="minorHAnsi"/>
        </w:rPr>
        <w:t xml:space="preserve">950 MW of utility-scale </w:t>
      </w:r>
      <w:r w:rsidR="00255BBB">
        <w:rPr>
          <w:rFonts w:asciiTheme="minorHAnsi" w:eastAsia="Times New Roman" w:hAnsiTheme="minorHAnsi" w:cstheme="minorHAnsi"/>
        </w:rPr>
        <w:t xml:space="preserve">renewable </w:t>
      </w:r>
      <w:r w:rsidR="00650585" w:rsidRPr="00A61CF4">
        <w:rPr>
          <w:rFonts w:asciiTheme="minorHAnsi" w:eastAsia="Times New Roman" w:hAnsiTheme="minorHAnsi" w:cstheme="minorHAnsi"/>
        </w:rPr>
        <w:t xml:space="preserve">resources </w:t>
      </w:r>
      <w:r w:rsidR="00A12EDB">
        <w:rPr>
          <w:rFonts w:asciiTheme="minorHAnsi" w:eastAsia="Times New Roman" w:hAnsiTheme="minorHAnsi" w:cstheme="minorHAnsi"/>
        </w:rPr>
        <w:t xml:space="preserve">available for subscription to </w:t>
      </w:r>
      <w:r w:rsidR="001E188D">
        <w:rPr>
          <w:rFonts w:asciiTheme="minorHAnsi" w:eastAsia="Times New Roman" w:hAnsiTheme="minorHAnsi" w:cstheme="minorHAnsi"/>
        </w:rPr>
        <w:t xml:space="preserve">both new and existing </w:t>
      </w:r>
      <w:r w:rsidR="00324A2B" w:rsidRPr="00A61CF4">
        <w:rPr>
          <w:rFonts w:asciiTheme="minorHAnsi" w:eastAsia="Times New Roman" w:hAnsiTheme="minorHAnsi" w:cstheme="minorHAnsi"/>
        </w:rPr>
        <w:t>customers</w:t>
      </w:r>
      <w:r w:rsidR="001E188D">
        <w:rPr>
          <w:rFonts w:asciiTheme="minorHAnsi" w:eastAsia="Times New Roman" w:hAnsiTheme="minorHAnsi" w:cstheme="minorHAnsi"/>
        </w:rPr>
        <w:t xml:space="preserve">. </w:t>
      </w:r>
      <w:r w:rsidR="001E3F79">
        <w:rPr>
          <w:rFonts w:asciiTheme="minorHAnsi" w:eastAsia="Times New Roman" w:hAnsiTheme="minorHAnsi" w:cstheme="minorHAnsi"/>
        </w:rPr>
        <w:t xml:space="preserve">Additionally, the Company plans to procure </w:t>
      </w:r>
      <w:r w:rsidR="00324A2B">
        <w:rPr>
          <w:rFonts w:asciiTheme="minorHAnsi" w:eastAsia="Times New Roman" w:hAnsiTheme="minorHAnsi" w:cstheme="minorHAnsi"/>
        </w:rPr>
        <w:t>up to</w:t>
      </w:r>
      <w:r w:rsidR="00D15D04">
        <w:rPr>
          <w:rFonts w:asciiTheme="minorHAnsi" w:eastAsia="Times New Roman" w:hAnsiTheme="minorHAnsi" w:cstheme="minorHAnsi"/>
        </w:rPr>
        <w:t xml:space="preserve"> 50 MW </w:t>
      </w:r>
      <w:r w:rsidR="00D15285">
        <w:rPr>
          <w:rFonts w:asciiTheme="minorHAnsi" w:eastAsia="Times New Roman" w:hAnsiTheme="minorHAnsi" w:cstheme="minorHAnsi"/>
        </w:rPr>
        <w:t>of</w:t>
      </w:r>
      <w:r w:rsidR="003A268D">
        <w:rPr>
          <w:rFonts w:asciiTheme="minorHAnsi" w:eastAsia="Times New Roman" w:hAnsiTheme="minorHAnsi" w:cstheme="minorHAnsi"/>
        </w:rPr>
        <w:t xml:space="preserve"> </w:t>
      </w:r>
      <w:r w:rsidR="0095553A">
        <w:rPr>
          <w:rFonts w:asciiTheme="minorHAnsi" w:eastAsia="Times New Roman" w:hAnsiTheme="minorHAnsi" w:cstheme="minorHAnsi"/>
        </w:rPr>
        <w:t>renewable</w:t>
      </w:r>
      <w:r w:rsidR="00255BBB">
        <w:rPr>
          <w:rFonts w:asciiTheme="minorHAnsi" w:eastAsia="Times New Roman" w:hAnsiTheme="minorHAnsi" w:cstheme="minorHAnsi"/>
        </w:rPr>
        <w:t xml:space="preserve"> </w:t>
      </w:r>
      <w:r w:rsidR="001E3F79">
        <w:rPr>
          <w:rFonts w:asciiTheme="minorHAnsi" w:eastAsia="Times New Roman" w:hAnsiTheme="minorHAnsi" w:cstheme="minorHAnsi"/>
        </w:rPr>
        <w:t xml:space="preserve">distributed generation (“DG”) </w:t>
      </w:r>
      <w:r w:rsidR="004C597A">
        <w:rPr>
          <w:rFonts w:asciiTheme="minorHAnsi" w:eastAsia="Times New Roman" w:hAnsiTheme="minorHAnsi" w:cstheme="minorHAnsi"/>
        </w:rPr>
        <w:t xml:space="preserve">resources </w:t>
      </w:r>
      <w:r w:rsidR="001E3F79">
        <w:rPr>
          <w:rFonts w:asciiTheme="minorHAnsi" w:eastAsia="Times New Roman" w:hAnsiTheme="minorHAnsi" w:cstheme="minorHAnsi"/>
        </w:rPr>
        <w:t>to continue to support the development of this market segment.</w:t>
      </w:r>
      <w:r w:rsidR="00816179">
        <w:rPr>
          <w:rFonts w:asciiTheme="minorHAnsi" w:eastAsia="Times New Roman" w:hAnsiTheme="minorHAnsi" w:cstheme="minorHAnsi"/>
        </w:rPr>
        <w:t xml:space="preserve"> For both the utility-scale and DG procurements, the Company proposes to continue sharing the projected </w:t>
      </w:r>
      <w:r w:rsidR="0065007A">
        <w:rPr>
          <w:rFonts w:asciiTheme="minorHAnsi" w:eastAsia="Times New Roman" w:hAnsiTheme="minorHAnsi" w:cstheme="minorHAnsi"/>
        </w:rPr>
        <w:t>long-term</w:t>
      </w:r>
      <w:r w:rsidR="00816179">
        <w:rPr>
          <w:rFonts w:asciiTheme="minorHAnsi" w:eastAsia="Times New Roman" w:hAnsiTheme="minorHAnsi" w:cstheme="minorHAnsi"/>
        </w:rPr>
        <w:t xml:space="preserve"> </w:t>
      </w:r>
      <w:r w:rsidR="00816179">
        <w:t xml:space="preserve">benefits realized from the </w:t>
      </w:r>
      <w:r w:rsidR="005231A3">
        <w:t>Power Purchase Agreements (“</w:t>
      </w:r>
      <w:r w:rsidR="00816179">
        <w:t>PPAs</w:t>
      </w:r>
      <w:r w:rsidR="005231A3">
        <w:t>”)</w:t>
      </w:r>
      <w:r w:rsidR="001E3F79">
        <w:rPr>
          <w:rFonts w:asciiTheme="minorHAnsi" w:eastAsia="Times New Roman" w:hAnsiTheme="minorHAnsi" w:cstheme="minorHAnsi"/>
        </w:rPr>
        <w:t>.</w:t>
      </w:r>
    </w:p>
    <w:p w14:paraId="472A3CB6" w14:textId="07AFE11A" w:rsidR="003A268D" w:rsidRDefault="003A268D" w:rsidP="006E1304">
      <w:pPr>
        <w:rPr>
          <w:rFonts w:asciiTheme="minorHAnsi" w:eastAsia="Times New Roman" w:hAnsiTheme="minorHAnsi" w:cstheme="minorHAnsi"/>
        </w:rPr>
      </w:pPr>
      <w:bookmarkStart w:id="17" w:name="_Hlk532745951"/>
      <w:r>
        <w:rPr>
          <w:rFonts w:asciiTheme="minorHAnsi" w:eastAsia="Times New Roman" w:hAnsiTheme="minorHAnsi" w:cstheme="minorHAnsi"/>
        </w:rPr>
        <w:t xml:space="preserve">Lastly, the Company remains committed to supporting customers interested in </w:t>
      </w:r>
      <w:r w:rsidR="00553050">
        <w:rPr>
          <w:rFonts w:asciiTheme="minorHAnsi" w:eastAsia="Times New Roman" w:hAnsiTheme="minorHAnsi" w:cstheme="minorHAnsi"/>
        </w:rPr>
        <w:t>renewable</w:t>
      </w:r>
      <w:r>
        <w:rPr>
          <w:rFonts w:asciiTheme="minorHAnsi" w:eastAsia="Times New Roman" w:hAnsiTheme="minorHAnsi" w:cstheme="minorHAnsi"/>
        </w:rPr>
        <w:t xml:space="preserve"> energy through education, analysis, and the delivery of customer-focused renewable programs, including a</w:t>
      </w:r>
      <w:r w:rsidR="00255BBB">
        <w:rPr>
          <w:rFonts w:asciiTheme="minorHAnsi" w:eastAsia="Times New Roman" w:hAnsiTheme="minorHAnsi" w:cstheme="minorHAnsi"/>
        </w:rPr>
        <w:t xml:space="preserve"> proposed </w:t>
      </w:r>
      <w:r>
        <w:rPr>
          <w:rFonts w:asciiTheme="minorHAnsi" w:eastAsia="Times New Roman" w:hAnsiTheme="minorHAnsi" w:cstheme="minorHAnsi"/>
        </w:rPr>
        <w:t>enhancement to Georgia Power’s Simple Solar program. The Company plans to add an additional discounted pricing tier for Simple Solar Large Volume participants, allowing greater pricing flexibility for large energy users. Customer interest in solar continues to increase, and Georgia Power is dedicated</w:t>
      </w:r>
      <w:r w:rsidDel="00317CD7">
        <w:rPr>
          <w:rFonts w:asciiTheme="minorHAnsi" w:eastAsia="Times New Roman" w:hAnsiTheme="minorHAnsi" w:cstheme="minorHAnsi"/>
        </w:rPr>
        <w:t xml:space="preserve"> </w:t>
      </w:r>
      <w:r>
        <w:rPr>
          <w:rFonts w:asciiTheme="minorHAnsi" w:eastAsia="Times New Roman" w:hAnsiTheme="minorHAnsi" w:cstheme="minorHAnsi"/>
        </w:rPr>
        <w:t xml:space="preserve">to </w:t>
      </w:r>
      <w:r w:rsidR="003123A3">
        <w:rPr>
          <w:rFonts w:asciiTheme="minorHAnsi" w:eastAsia="Times New Roman" w:hAnsiTheme="minorHAnsi" w:cstheme="minorHAnsi"/>
        </w:rPr>
        <w:t xml:space="preserve">providing </w:t>
      </w:r>
      <w:r>
        <w:rPr>
          <w:rFonts w:asciiTheme="minorHAnsi" w:eastAsia="Times New Roman" w:hAnsiTheme="minorHAnsi" w:cstheme="minorHAnsi"/>
        </w:rPr>
        <w:t>a robust response to those needs.</w:t>
      </w:r>
      <w:bookmarkEnd w:id="17"/>
    </w:p>
    <w:p w14:paraId="0D1E0B7F" w14:textId="77777777" w:rsidR="00377F7E" w:rsidRPr="00A81207" w:rsidRDefault="00377F7E" w:rsidP="00A7180F">
      <w:pPr>
        <w:pStyle w:val="Heading2"/>
      </w:pPr>
      <w:bookmarkStart w:id="18" w:name="_Toc536209114"/>
      <w:bookmarkEnd w:id="16"/>
      <w:r>
        <w:t>Environmental Strategy</w:t>
      </w:r>
      <w:bookmarkEnd w:id="18"/>
    </w:p>
    <w:p w14:paraId="1718709A" w14:textId="02190417" w:rsidR="005231A3" w:rsidRDefault="0081458D" w:rsidP="005231A3">
      <w:r>
        <w:t xml:space="preserve">Georgia Power has developed a </w:t>
      </w:r>
      <w:r w:rsidR="00095F87">
        <w:t xml:space="preserve">comprehensive environmental compliance strategy that identifies the Company’s plans to comply with all applicable state and federal environmental laws and regulations, including, without limitation, the Clean Air Act, Clean Water Act, </w:t>
      </w:r>
      <w:r w:rsidR="00734B8A">
        <w:t xml:space="preserve">and the </w:t>
      </w:r>
      <w:r w:rsidR="00095F87">
        <w:t>Resource Conservation and Recovery Act. The strategy enables Georgia Power to comprehensively manage environmental compliance and effectively address specific compliance requirements</w:t>
      </w:r>
      <w:r w:rsidR="00091C21">
        <w:t xml:space="preserve"> through the implementation</w:t>
      </w:r>
      <w:r w:rsidR="0053241E">
        <w:t xml:space="preserve"> of</w:t>
      </w:r>
      <w:r w:rsidR="00F85977" w:rsidRPr="0053241E">
        <w:t xml:space="preserve"> cost-effective and commercially available environmental control applications.</w:t>
      </w:r>
    </w:p>
    <w:p w14:paraId="42D30D1C" w14:textId="72ADC4DA" w:rsidR="00175319" w:rsidRDefault="0081458D" w:rsidP="0081458D">
      <w:r>
        <w:t>As described in</w:t>
      </w:r>
      <w:r w:rsidR="0017540A">
        <w:t xml:space="preserve"> </w:t>
      </w:r>
      <w:r w:rsidR="009206B9">
        <w:fldChar w:fldCharType="begin"/>
      </w:r>
      <w:r w:rsidR="009206B9">
        <w:instrText xml:space="preserve"> REF _Ref531354561 \r \h </w:instrText>
      </w:r>
      <w:r w:rsidR="009206B9">
        <w:fldChar w:fldCharType="separate"/>
      </w:r>
      <w:r w:rsidR="00F33DA2">
        <w:t>CHAPTER 10</w:t>
      </w:r>
      <w:r w:rsidR="009206B9">
        <w:fldChar w:fldCharType="end"/>
      </w:r>
      <w:r>
        <w:t xml:space="preserve">, through successful implementation of previous strategies approved by the Commission, the Company has achieved </w:t>
      </w:r>
      <w:r w:rsidR="005231A3">
        <w:t xml:space="preserve">dramatic </w:t>
      </w:r>
      <w:r>
        <w:t xml:space="preserve">emission reductions </w:t>
      </w:r>
      <w:r w:rsidR="008662AF" w:rsidRPr="006E3EE8">
        <w:t xml:space="preserve">and implemented effective environmental controls </w:t>
      </w:r>
      <w:r>
        <w:t xml:space="preserve">through making </w:t>
      </w:r>
      <w:r w:rsidR="00696856">
        <w:t xml:space="preserve">the most economical decisions </w:t>
      </w:r>
      <w:r>
        <w:t xml:space="preserve">in the best interest of customers. </w:t>
      </w:r>
      <w:r w:rsidR="00696856">
        <w:t xml:space="preserve">The </w:t>
      </w:r>
      <w:r>
        <w:t xml:space="preserve">Company’s current strategy incorporates </w:t>
      </w:r>
      <w:r w:rsidR="00696856">
        <w:t xml:space="preserve">new technology installations, compliance actions, </w:t>
      </w:r>
      <w:r>
        <w:t>and associated costs to comply with</w:t>
      </w:r>
      <w:r w:rsidR="00696856">
        <w:t xml:space="preserve"> recent</w:t>
      </w:r>
      <w:r>
        <w:t xml:space="preserve"> land and water </w:t>
      </w:r>
      <w:r w:rsidR="00696856">
        <w:t xml:space="preserve">regulations, such as </w:t>
      </w:r>
      <w:r w:rsidR="00301605">
        <w:t xml:space="preserve">the </w:t>
      </w:r>
      <w:r w:rsidR="00696856">
        <w:t>Coal Combustion Residuals (“CCR”) and Effluent Limitations Guidelines (“ELG”) rules</w:t>
      </w:r>
      <w:r>
        <w:t xml:space="preserve">. </w:t>
      </w:r>
      <w:r w:rsidR="00BF5B22">
        <w:t xml:space="preserve">The </w:t>
      </w:r>
      <w:r w:rsidR="000A1486">
        <w:t>s</w:t>
      </w:r>
      <w:r w:rsidR="00BF5B22">
        <w:t>trategy and the associated cost</w:t>
      </w:r>
      <w:r w:rsidR="000A1486">
        <w:t>s</w:t>
      </w:r>
      <w:r w:rsidR="00BF5B22">
        <w:t xml:space="preserve"> are </w:t>
      </w:r>
      <w:r>
        <w:t xml:space="preserve">discussed in detail in the </w:t>
      </w:r>
      <w:r w:rsidR="00095F87">
        <w:t xml:space="preserve">Environmental Compliance Strategy (“ECS”) </w:t>
      </w:r>
      <w:r>
        <w:t>in Technical Appendix Volume 2</w:t>
      </w:r>
      <w:r w:rsidR="00696856">
        <w:t xml:space="preserve"> and the </w:t>
      </w:r>
      <w:r w:rsidR="00301605">
        <w:t>Environmental Compliance Cost Recovery (“</w:t>
      </w:r>
      <w:r w:rsidR="00696856">
        <w:t>ECCR</w:t>
      </w:r>
      <w:r w:rsidR="00301605">
        <w:t>”)</w:t>
      </w:r>
      <w:r w:rsidR="00696856">
        <w:t xml:space="preserve"> and </w:t>
      </w:r>
      <w:r w:rsidR="00CB2972">
        <w:t xml:space="preserve">CCR </w:t>
      </w:r>
      <w:r w:rsidR="00301605">
        <w:t>Asset Retirement Obligation (“</w:t>
      </w:r>
      <w:r w:rsidR="00696856">
        <w:t>ARO</w:t>
      </w:r>
      <w:r w:rsidR="00301605">
        <w:t>”)</w:t>
      </w:r>
      <w:r w:rsidR="00696856">
        <w:t xml:space="preserve"> </w:t>
      </w:r>
      <w:r w:rsidR="00301605">
        <w:t>t</w:t>
      </w:r>
      <w:r w:rsidR="00696856">
        <w:t xml:space="preserve">ables in </w:t>
      </w:r>
      <w:r w:rsidR="00301605">
        <w:t>the Selected Supporting Information</w:t>
      </w:r>
      <w:r w:rsidR="00296163">
        <w:t xml:space="preserve"> section</w:t>
      </w:r>
      <w:r w:rsidR="00301605">
        <w:t xml:space="preserve"> of </w:t>
      </w:r>
      <w:r w:rsidR="00696856">
        <w:t xml:space="preserve">Technical Appendix </w:t>
      </w:r>
      <w:r w:rsidR="00301605">
        <w:t>Volume 1</w:t>
      </w:r>
      <w:r>
        <w:t>.</w:t>
      </w:r>
    </w:p>
    <w:p w14:paraId="69024AAE" w14:textId="3EC866B9" w:rsidR="00343FEC" w:rsidRPr="00AE0666" w:rsidRDefault="00801242" w:rsidP="00A7180F">
      <w:pPr>
        <w:pStyle w:val="Heading2"/>
      </w:pPr>
      <w:bookmarkStart w:id="19" w:name="_Toc536209115"/>
      <w:r>
        <w:t>Unit Retirements</w:t>
      </w:r>
      <w:bookmarkEnd w:id="19"/>
    </w:p>
    <w:p w14:paraId="41C76ABC" w14:textId="6B332245" w:rsidR="0002179C" w:rsidRDefault="00343FEC" w:rsidP="0002179C">
      <w:r>
        <w:t xml:space="preserve">The Company has performed an in-depth economic analysis of </w:t>
      </w:r>
      <w:r w:rsidR="00255BBB">
        <w:t xml:space="preserve">certain </w:t>
      </w:r>
      <w:r>
        <w:t>fossil-</w:t>
      </w:r>
      <w:r w:rsidR="00B92E0B">
        <w:t>fuel-</w:t>
      </w:r>
      <w:r>
        <w:t xml:space="preserve">fired generating units to determine which </w:t>
      </w:r>
      <w:r w:rsidR="005F581B">
        <w:t xml:space="preserve">units </w:t>
      </w:r>
      <w:r w:rsidR="00574827">
        <w:t xml:space="preserve">will continue to </w:t>
      </w:r>
      <w:r>
        <w:t>provide economic benefit</w:t>
      </w:r>
      <w:r w:rsidR="00574827">
        <w:t>s</w:t>
      </w:r>
      <w:r>
        <w:t xml:space="preserve"> to customers. The results of th</w:t>
      </w:r>
      <w:r w:rsidR="00F8564E">
        <w:t>is</w:t>
      </w:r>
      <w:r>
        <w:t xml:space="preserve"> analysis </w:t>
      </w:r>
      <w:r w:rsidR="00F30214">
        <w:t>show</w:t>
      </w:r>
      <w:r>
        <w:t xml:space="preserve"> that </w:t>
      </w:r>
      <w:r w:rsidR="004326D2">
        <w:t xml:space="preserve">sustained low gas prices combined </w:t>
      </w:r>
      <w:r w:rsidR="00B92E0B">
        <w:t xml:space="preserve">with </w:t>
      </w:r>
      <w:r w:rsidR="004326D2">
        <w:t xml:space="preserve">reduced energy demand </w:t>
      </w:r>
      <w:r w:rsidR="009108C6">
        <w:t xml:space="preserve">growth </w:t>
      </w:r>
      <w:r w:rsidR="004326D2">
        <w:t xml:space="preserve">continue to place </w:t>
      </w:r>
      <w:r w:rsidR="009B08AE">
        <w:t>economic pressure</w:t>
      </w:r>
      <w:r w:rsidR="004326D2">
        <w:t xml:space="preserve"> on</w:t>
      </w:r>
      <w:r w:rsidR="00044D21">
        <w:t xml:space="preserve"> the Company’s</w:t>
      </w:r>
      <w:r w:rsidR="004326D2">
        <w:t xml:space="preserve"> remaining coal-fired generating units. </w:t>
      </w:r>
      <w:r w:rsidR="00D84600">
        <w:t>Consequently</w:t>
      </w:r>
      <w:r w:rsidR="004326D2">
        <w:t xml:space="preserve">, the Company </w:t>
      </w:r>
      <w:r w:rsidR="00044D21">
        <w:t>recommends</w:t>
      </w:r>
      <w:r w:rsidR="004326D2">
        <w:t xml:space="preserve"> retirement </w:t>
      </w:r>
      <w:bookmarkStart w:id="20" w:name="_Hlk528698133"/>
      <w:r w:rsidR="0002179C">
        <w:t>of Plant McIntosh Unit 1 and Plant Hammond Units 1-4.</w:t>
      </w:r>
    </w:p>
    <w:bookmarkEnd w:id="20"/>
    <w:p w14:paraId="562885D4" w14:textId="525A9C40" w:rsidR="009108C6" w:rsidRDefault="009108C6" w:rsidP="009108C6">
      <w:r>
        <w:t xml:space="preserve">The Company </w:t>
      </w:r>
      <w:r w:rsidR="00767702">
        <w:t xml:space="preserve">plans to continue operation of </w:t>
      </w:r>
      <w:r>
        <w:t xml:space="preserve">the remaining coal fleet </w:t>
      </w:r>
      <w:r w:rsidR="00255BBB">
        <w:t xml:space="preserve">based on </w:t>
      </w:r>
      <w:r>
        <w:t xml:space="preserve">the benefits </w:t>
      </w:r>
      <w:r w:rsidR="00255BBB">
        <w:t xml:space="preserve">these units provide </w:t>
      </w:r>
      <w:r>
        <w:t>to customers. For Plant Bowen Units 1-2, the Company acknowledges the economic challenges associated with continued operation of these units</w:t>
      </w:r>
      <w:r w:rsidR="00A63627">
        <w:t xml:space="preserve"> in certain scenarios</w:t>
      </w:r>
      <w:r>
        <w:t xml:space="preserve"> but recognizes that immediate retirement of these units would be premature and expose customers to significant reliability risk associated with generation capacity shortfall. </w:t>
      </w:r>
      <w:r w:rsidR="00767702">
        <w:t>Moreover</w:t>
      </w:r>
      <w:r>
        <w:t xml:space="preserve">, the </w:t>
      </w:r>
      <w:r w:rsidR="00255BBB">
        <w:t xml:space="preserve">absence of these units requires </w:t>
      </w:r>
      <w:r>
        <w:t xml:space="preserve">construction of </w:t>
      </w:r>
      <w:r w:rsidR="00767702">
        <w:t xml:space="preserve">significant </w:t>
      </w:r>
      <w:r>
        <w:t xml:space="preserve">transmission system upgrades to support reliable operations. Therefore, the Company </w:t>
      </w:r>
      <w:r w:rsidR="00767702">
        <w:t>plans to defer</w:t>
      </w:r>
      <w:r>
        <w:t xml:space="preserve"> major resource decisions for these units to avoid </w:t>
      </w:r>
      <w:r w:rsidR="00767702">
        <w:t xml:space="preserve">any </w:t>
      </w:r>
      <w:r>
        <w:t xml:space="preserve">irreversible decisions that may be </w:t>
      </w:r>
      <w:r w:rsidR="00767702">
        <w:t xml:space="preserve">contrary to the </w:t>
      </w:r>
      <w:r>
        <w:t>long-term interest</w:t>
      </w:r>
      <w:r w:rsidR="00767702">
        <w:t>s</w:t>
      </w:r>
      <w:r>
        <w:t xml:space="preserve"> of customers. To provide decision-making flexibility, the Company </w:t>
      </w:r>
      <w:r w:rsidR="00767702" w:rsidRPr="00F3205B">
        <w:t xml:space="preserve">plans </w:t>
      </w:r>
      <w:r w:rsidRPr="00F3205B">
        <w:t xml:space="preserve">to take the appropriate steps to ensure future reliability, which includes making the appropriate transmission upgrades and issuing two capacity-based RFPs. As discussed in </w:t>
      </w:r>
      <w:r w:rsidRPr="00F3205B">
        <w:fldChar w:fldCharType="begin"/>
      </w:r>
      <w:r w:rsidRPr="00F3205B">
        <w:instrText xml:space="preserve"> REF _Ref531354561 \r \h </w:instrText>
      </w:r>
      <w:r w:rsidR="00F3205B">
        <w:instrText xml:space="preserve"> \* MERGEFORMAT </w:instrText>
      </w:r>
      <w:r w:rsidRPr="00F3205B">
        <w:fldChar w:fldCharType="separate"/>
      </w:r>
      <w:r w:rsidR="00F33DA2">
        <w:t>CHAPTER 10</w:t>
      </w:r>
      <w:r w:rsidRPr="00F3205B">
        <w:fldChar w:fldCharType="end"/>
      </w:r>
      <w:r w:rsidRPr="00F3205B">
        <w:t xml:space="preserve">, the first RFP will seek resources </w:t>
      </w:r>
      <w:r w:rsidR="001204DD" w:rsidRPr="00F3205B">
        <w:t xml:space="preserve">that can provide capacity beginning </w:t>
      </w:r>
      <w:r w:rsidRPr="00F3205B">
        <w:t>in 2022-2023</w:t>
      </w:r>
      <w:r w:rsidR="001204DD" w:rsidRPr="00F3205B">
        <w:t xml:space="preserve"> (“2022-2023 RFP”) </w:t>
      </w:r>
      <w:r w:rsidRPr="00F3205B">
        <w:t>due to the economic challenges</w:t>
      </w:r>
      <w:r>
        <w:t xml:space="preserve"> associated with Plant Bowen Units 1-2, while the second RFP will seek </w:t>
      </w:r>
      <w:r w:rsidR="001204DD">
        <w:t>resources that can provid</w:t>
      </w:r>
      <w:r w:rsidR="007F3CF6">
        <w:t xml:space="preserve">e </w:t>
      </w:r>
      <w:r>
        <w:t xml:space="preserve">capacity </w:t>
      </w:r>
      <w:r w:rsidR="007F3CF6">
        <w:t xml:space="preserve">beginning </w:t>
      </w:r>
      <w:r>
        <w:t xml:space="preserve">in 2026-2028 </w:t>
      </w:r>
      <w:r w:rsidR="007F3CF6">
        <w:t xml:space="preserve">(“2026-2028 RFP”) </w:t>
      </w:r>
      <w:r w:rsidR="004C597A">
        <w:t xml:space="preserve">ahead of </w:t>
      </w:r>
      <w:r>
        <w:t>the Company’s currently forecasted capacity need.</w:t>
      </w:r>
    </w:p>
    <w:p w14:paraId="5D1AEBF2" w14:textId="389E74EB" w:rsidR="006131AF" w:rsidRDefault="00132A1D" w:rsidP="00807D97">
      <w:r>
        <w:t>The Company also</w:t>
      </w:r>
      <w:r w:rsidR="004B4A61">
        <w:t xml:space="preserve"> intends </w:t>
      </w:r>
      <w:r w:rsidR="0045112D">
        <w:t>to retire three small hydro</w:t>
      </w:r>
      <w:r w:rsidR="00E703BE">
        <w:t xml:space="preserve"> </w:t>
      </w:r>
      <w:r w:rsidR="0045112D">
        <w:t xml:space="preserve">plants – Plant </w:t>
      </w:r>
      <w:r w:rsidR="00264429">
        <w:t xml:space="preserve">Estatoah Unit 1, Plant </w:t>
      </w:r>
      <w:r>
        <w:t>Langdale</w:t>
      </w:r>
      <w:r w:rsidR="00F42B2B">
        <w:t xml:space="preserve"> Units </w:t>
      </w:r>
      <w:r w:rsidR="00E1613D">
        <w:t xml:space="preserve">5-6, </w:t>
      </w:r>
      <w:r w:rsidR="00264429">
        <w:t xml:space="preserve">and </w:t>
      </w:r>
      <w:r w:rsidR="00E1613D">
        <w:t>Plant Riverview Units 1-2</w:t>
      </w:r>
      <w:r w:rsidR="00452082">
        <w:t xml:space="preserve">. These plants </w:t>
      </w:r>
      <w:r>
        <w:t>went into service in</w:t>
      </w:r>
      <w:r w:rsidR="008B5D5F">
        <w:t xml:space="preserve"> 1929, 1908, and 1918, respectively,</w:t>
      </w:r>
      <w:r w:rsidR="00376281">
        <w:t xml:space="preserve"> </w:t>
      </w:r>
      <w:r w:rsidR="00F42B2B">
        <w:t xml:space="preserve">and </w:t>
      </w:r>
      <w:r>
        <w:t xml:space="preserve">represent a </w:t>
      </w:r>
      <w:r w:rsidR="006E1304">
        <w:t xml:space="preserve">total </w:t>
      </w:r>
      <w:r w:rsidR="006E1304" w:rsidRPr="00132DF2">
        <w:t>0.4 MW of retail capacity</w:t>
      </w:r>
      <w:r w:rsidR="006E1304">
        <w:t xml:space="preserve">. Due </w:t>
      </w:r>
      <w:r w:rsidR="00F50AAF">
        <w:t xml:space="preserve">to the size, age, and location of these </w:t>
      </w:r>
      <w:r w:rsidR="004A1B75">
        <w:t>facilities</w:t>
      </w:r>
      <w:r w:rsidR="00F50AAF">
        <w:t>, the Company does not believe material impact</w:t>
      </w:r>
      <w:r w:rsidR="00876269">
        <w:t>s to the local communities</w:t>
      </w:r>
      <w:r w:rsidR="009544AB">
        <w:t xml:space="preserve"> or </w:t>
      </w:r>
      <w:r w:rsidR="00FA6368">
        <w:t xml:space="preserve">reliability will </w:t>
      </w:r>
      <w:r w:rsidR="00767702">
        <w:t xml:space="preserve">result from the proposed </w:t>
      </w:r>
      <w:r w:rsidR="00FA6368">
        <w:t>retirement</w:t>
      </w:r>
      <w:r w:rsidR="00767702">
        <w:t>s</w:t>
      </w:r>
      <w:r w:rsidR="00FA6368">
        <w:t xml:space="preserve">. Additionally, as discussed in </w:t>
      </w:r>
      <w:r w:rsidR="00FA6368">
        <w:fldChar w:fldCharType="begin"/>
      </w:r>
      <w:r w:rsidR="00FA6368">
        <w:instrText xml:space="preserve"> REF _Ref527048130 \r \h </w:instrText>
      </w:r>
      <w:r w:rsidR="00FA6368">
        <w:fldChar w:fldCharType="separate"/>
      </w:r>
      <w:r w:rsidR="00F33DA2">
        <w:t>CHAPTER 9</w:t>
      </w:r>
      <w:r w:rsidR="00FA6368">
        <w:fldChar w:fldCharType="end"/>
      </w:r>
      <w:r w:rsidR="00FA6368">
        <w:t xml:space="preserve">, </w:t>
      </w:r>
      <w:r w:rsidR="003C6F9C">
        <w:t>n</w:t>
      </w:r>
      <w:r w:rsidR="003C6F9C">
        <w:rPr>
          <w:rFonts w:eastAsia="Times New Roman" w:cs="Arial"/>
        </w:rPr>
        <w:t xml:space="preserve">atural resource </w:t>
      </w:r>
      <w:r w:rsidR="00FA6368">
        <w:t xml:space="preserve">agencies support </w:t>
      </w:r>
      <w:r w:rsidR="0045112D">
        <w:t>retirement</w:t>
      </w:r>
      <w:r w:rsidR="004775FE">
        <w:t xml:space="preserve"> of these units</w:t>
      </w:r>
      <w:r w:rsidR="0045112D">
        <w:t xml:space="preserve">. </w:t>
      </w:r>
    </w:p>
    <w:p w14:paraId="7A65E25B" w14:textId="55213AE0" w:rsidR="00377F7E" w:rsidRDefault="00377F7E" w:rsidP="00A7180F">
      <w:pPr>
        <w:pStyle w:val="Heading2"/>
      </w:pPr>
      <w:bookmarkStart w:id="21" w:name="_Toc536209116"/>
      <w:bookmarkStart w:id="22" w:name="_Toc529861411"/>
      <w:r>
        <w:t>Wholesale Generation</w:t>
      </w:r>
      <w:bookmarkEnd w:id="21"/>
    </w:p>
    <w:p w14:paraId="31A9BC10" w14:textId="177D888E" w:rsidR="00377F7E" w:rsidRDefault="00377F7E" w:rsidP="00377F7E">
      <w:r>
        <w:t xml:space="preserve">Approximately 25 MW of Plant Scherer Unit 3 </w:t>
      </w:r>
      <w:r w:rsidR="0045112D">
        <w:t xml:space="preserve">capacity will be available to serve retail customers after December 31, 2019, following the expiration of an existing wholesale </w:t>
      </w:r>
      <w:r w:rsidR="005231A3">
        <w:t>PPA</w:t>
      </w:r>
      <w:r w:rsidR="0045112D">
        <w:t xml:space="preserve">. </w:t>
      </w:r>
      <w:r>
        <w:t xml:space="preserve">Consistent with the Commission’s July </w:t>
      </w:r>
      <w:r w:rsidR="003B1C3A">
        <w:t>30</w:t>
      </w:r>
      <w:r>
        <w:t xml:space="preserve">, 2008 Order in Docket No. </w:t>
      </w:r>
      <w:r w:rsidR="004E08CE">
        <w:t xml:space="preserve">26550, Georgia Power proposes to offer these 25 MW of capacity to retail </w:t>
      </w:r>
      <w:r w:rsidR="00B64640">
        <w:t xml:space="preserve">jurisdiction </w:t>
      </w:r>
      <w:r>
        <w:t>beginning January 1, 2020. Addition</w:t>
      </w:r>
      <w:r w:rsidR="00DF1B8A">
        <w:t>al information on the wholesale</w:t>
      </w:r>
      <w:r w:rsidR="00864639">
        <w:t>-</w:t>
      </w:r>
      <w:r>
        <w:t>to</w:t>
      </w:r>
      <w:r w:rsidR="00864639">
        <w:t>-</w:t>
      </w:r>
      <w:r>
        <w:t xml:space="preserve">retail transaction can be found in </w:t>
      </w:r>
      <w:r w:rsidR="009206B9">
        <w:fldChar w:fldCharType="begin"/>
      </w:r>
      <w:r w:rsidR="009206B9">
        <w:instrText xml:space="preserve"> REF _Ref532996905 \r \h </w:instrText>
      </w:r>
      <w:r w:rsidR="009206B9">
        <w:fldChar w:fldCharType="separate"/>
      </w:r>
      <w:r w:rsidR="00F33DA2">
        <w:t>CHAPTER 11</w:t>
      </w:r>
      <w:r w:rsidR="009206B9">
        <w:fldChar w:fldCharType="end"/>
      </w:r>
      <w:r>
        <w:t xml:space="preserve">. </w:t>
      </w:r>
    </w:p>
    <w:p w14:paraId="57A08728" w14:textId="7D0FD85E" w:rsidR="00377F7E" w:rsidRDefault="00377F7E" w:rsidP="00A7180F">
      <w:pPr>
        <w:pStyle w:val="Heading2"/>
      </w:pPr>
      <w:bookmarkStart w:id="23" w:name="_Toc536209117"/>
      <w:r>
        <w:t>Transmission</w:t>
      </w:r>
      <w:bookmarkEnd w:id="22"/>
      <w:bookmarkEnd w:id="23"/>
      <w:r>
        <w:t xml:space="preserve"> </w:t>
      </w:r>
    </w:p>
    <w:p w14:paraId="664B63CC" w14:textId="524AE994" w:rsidR="00975389" w:rsidRDefault="00377F7E" w:rsidP="00864639">
      <w:r>
        <w:t>The 2019 IRP includes the Company’s updated ten-year transmission plan, which identifies the transmission improvements needed to maintain a strong and reliable transmission system. The development of this plan is conducted in accordance with Southern Company and Georgia Integrated Transmission System (“ITS”) transmission planning guidelines and with North American Electric Reliability Council (“NERC”) planning standards</w:t>
      </w:r>
      <w:r w:rsidR="00680AEE">
        <w:t xml:space="preserve">. </w:t>
      </w:r>
      <w:r w:rsidR="000C7472">
        <w:rPr>
          <w:rFonts w:cs="Arial"/>
          <w:color w:val="4D4D4D"/>
        </w:rPr>
        <w:t xml:space="preserve">Georgia Power, </w:t>
      </w:r>
      <w:r w:rsidR="000C7472" w:rsidRPr="00987190">
        <w:rPr>
          <w:rFonts w:cs="Arial"/>
          <w:color w:val="4D4D4D"/>
        </w:rPr>
        <w:t>Georgia Transmission Corporation</w:t>
      </w:r>
      <w:r w:rsidR="000C7472">
        <w:rPr>
          <w:rFonts w:cs="Arial"/>
          <w:color w:val="4D4D4D"/>
        </w:rPr>
        <w:t xml:space="preserve"> (“GTC”)</w:t>
      </w:r>
      <w:r w:rsidR="000C7472" w:rsidRPr="00987190">
        <w:rPr>
          <w:rFonts w:cs="Arial"/>
          <w:color w:val="4D4D4D"/>
        </w:rPr>
        <w:t>, M</w:t>
      </w:r>
      <w:r w:rsidR="000C7472">
        <w:rPr>
          <w:rFonts w:cs="Arial"/>
          <w:color w:val="4D4D4D"/>
        </w:rPr>
        <w:t xml:space="preserve">unicipal </w:t>
      </w:r>
      <w:r w:rsidR="000C7472" w:rsidRPr="00987190">
        <w:rPr>
          <w:rFonts w:cs="Arial"/>
          <w:color w:val="4D4D4D"/>
        </w:rPr>
        <w:t>E</w:t>
      </w:r>
      <w:r w:rsidR="000C7472">
        <w:rPr>
          <w:rFonts w:cs="Arial"/>
          <w:color w:val="4D4D4D"/>
        </w:rPr>
        <w:t xml:space="preserve">lectric </w:t>
      </w:r>
      <w:r w:rsidR="000C7472" w:rsidRPr="00987190">
        <w:rPr>
          <w:rFonts w:cs="Arial"/>
          <w:color w:val="4D4D4D"/>
        </w:rPr>
        <w:t>A</w:t>
      </w:r>
      <w:r w:rsidR="000C7472">
        <w:rPr>
          <w:rFonts w:cs="Arial"/>
          <w:color w:val="4D4D4D"/>
        </w:rPr>
        <w:t xml:space="preserve">uthority of </w:t>
      </w:r>
      <w:r w:rsidR="000C7472" w:rsidRPr="00987190">
        <w:rPr>
          <w:rFonts w:cs="Arial"/>
          <w:color w:val="4D4D4D"/>
        </w:rPr>
        <w:t>G</w:t>
      </w:r>
      <w:r w:rsidR="000C7472">
        <w:rPr>
          <w:rFonts w:cs="Arial"/>
          <w:color w:val="4D4D4D"/>
        </w:rPr>
        <w:t>eorgia (“MEAG</w:t>
      </w:r>
      <w:r w:rsidR="000C7472" w:rsidRPr="00987190">
        <w:rPr>
          <w:rFonts w:cs="Arial"/>
          <w:color w:val="4D4D4D"/>
        </w:rPr>
        <w:t xml:space="preserve"> Power</w:t>
      </w:r>
      <w:r w:rsidR="000C7472">
        <w:rPr>
          <w:rFonts w:cs="Arial"/>
          <w:color w:val="4D4D4D"/>
        </w:rPr>
        <w:t>”)</w:t>
      </w:r>
      <w:r w:rsidR="000C7472" w:rsidRPr="00987190">
        <w:rPr>
          <w:rFonts w:cs="Arial"/>
          <w:color w:val="4D4D4D"/>
        </w:rPr>
        <w:t>, and Dalton Utilities (collectively, the “</w:t>
      </w:r>
      <w:r w:rsidR="000C7472">
        <w:rPr>
          <w:rFonts w:cs="Arial"/>
          <w:color w:val="4D4D4D"/>
        </w:rPr>
        <w:t xml:space="preserve">ITS </w:t>
      </w:r>
      <w:r w:rsidR="000C7472" w:rsidRPr="00987190">
        <w:rPr>
          <w:rFonts w:cs="Arial"/>
          <w:color w:val="4D4D4D"/>
        </w:rPr>
        <w:t>Participants”)</w:t>
      </w:r>
      <w:r w:rsidR="000C7472">
        <w:rPr>
          <w:rFonts w:cs="Arial"/>
          <w:color w:val="4D4D4D"/>
        </w:rPr>
        <w:t xml:space="preserve"> developed this ten-year plan together in support of the Georgia ITS. </w:t>
      </w:r>
      <w:r>
        <w:t>Along with the ten-year plan, Georgia Power has included a comprehensive and detailed bulk transmission plan of the Georgia ITS as required by the amended rules adopted by the Commission in Docket No. 25981. Additional transmission information is also provided as required by Docket No. 31081.</w:t>
      </w:r>
    </w:p>
    <w:p w14:paraId="2DDA4692" w14:textId="5D4FF8EA" w:rsidR="00F25BFB" w:rsidRDefault="00F25BFB" w:rsidP="00A7180F">
      <w:pPr>
        <w:pStyle w:val="Heading2"/>
      </w:pPr>
      <w:bookmarkStart w:id="24" w:name="_Toc536209118"/>
      <w:r>
        <w:t>Emerging Resilience Needs</w:t>
      </w:r>
      <w:bookmarkEnd w:id="24"/>
    </w:p>
    <w:p w14:paraId="600D071E" w14:textId="401F47C5" w:rsidR="00F25BFB" w:rsidRPr="00F25BFB" w:rsidRDefault="00F25BFB" w:rsidP="00F25BFB">
      <w:r w:rsidRPr="00F25BFB">
        <w:t xml:space="preserve">This IRP includes a new </w:t>
      </w:r>
      <w:r>
        <w:t xml:space="preserve">chapter </w:t>
      </w:r>
      <w:r w:rsidRPr="00F25BFB">
        <w:t xml:space="preserve">addressing the Company’s commitment to maintain a robust and resilient electric system </w:t>
      </w:r>
      <w:r w:rsidR="00F9624F">
        <w:t xml:space="preserve">as the generation fleet evolves towards a larger share of resources that either have no on-site fuel storage or are intermittent. </w:t>
      </w:r>
      <w:r w:rsidR="00931A54">
        <w:fldChar w:fldCharType="begin"/>
      </w:r>
      <w:r w:rsidR="00931A54">
        <w:instrText xml:space="preserve"> REF _Ref535953503 \n \h </w:instrText>
      </w:r>
      <w:r w:rsidR="00931A54">
        <w:fldChar w:fldCharType="separate"/>
      </w:r>
      <w:r w:rsidR="00F33DA2">
        <w:t>CHAPTER 13</w:t>
      </w:r>
      <w:r w:rsidR="00931A54">
        <w:fldChar w:fldCharType="end"/>
      </w:r>
      <w:r w:rsidR="00931A54">
        <w:t xml:space="preserve"> </w:t>
      </w:r>
      <w:r w:rsidR="00F9624F">
        <w:t>discusses</w:t>
      </w:r>
      <w:r w:rsidRPr="00F25BFB">
        <w:t xml:space="preserve"> resilience with respect to the power delivery system, the bulk power system, and generation assets. The Company</w:t>
      </w:r>
      <w:r w:rsidR="008E2993">
        <w:t xml:space="preserve"> is </w:t>
      </w:r>
      <w:r w:rsidR="008E2993" w:rsidRPr="008E2993">
        <w:rPr>
          <w:b/>
        </w:rPr>
        <w:t>not</w:t>
      </w:r>
      <w:r w:rsidRPr="00F25BFB">
        <w:t xml:space="preserve"> proposing specific resilience enhancements in this IRP, but rather seeks to inform the Commission of the Company’s </w:t>
      </w:r>
      <w:r w:rsidR="009F0AFE" w:rsidRPr="00F25BFB">
        <w:t>forward-looking</w:t>
      </w:r>
      <w:r w:rsidRPr="00F25BFB">
        <w:t xml:space="preserve"> focus on resilience planning as a means of ensuring that it continues to meet Georgia’s electric service needs during high-impact disruptive events.</w:t>
      </w:r>
    </w:p>
    <w:p w14:paraId="1C77D763" w14:textId="60AB7CA9" w:rsidR="006F2294" w:rsidRPr="00A81207" w:rsidRDefault="0058669C" w:rsidP="00A7180F">
      <w:pPr>
        <w:pStyle w:val="Heading2"/>
      </w:pPr>
      <w:bookmarkStart w:id="25" w:name="_Toc536209119"/>
      <w:r>
        <w:t>C</w:t>
      </w:r>
      <w:r w:rsidR="00B062C4">
        <w:t>onclusion</w:t>
      </w:r>
      <w:bookmarkEnd w:id="25"/>
    </w:p>
    <w:p w14:paraId="133D9FF3" w14:textId="166CCE09" w:rsidR="0058669C" w:rsidRPr="0058669C" w:rsidRDefault="0058669C" w:rsidP="00E539B4">
      <w:pPr>
        <w:keepNext/>
      </w:pPr>
      <w:r>
        <w:t xml:space="preserve">In summary, the 2019 IRP sets forth </w:t>
      </w:r>
      <w:r w:rsidR="004775FE">
        <w:t>a</w:t>
      </w:r>
      <w:r>
        <w:t xml:space="preserve"> comprehensive plan </w:t>
      </w:r>
      <w:r w:rsidR="00767702">
        <w:t xml:space="preserve">that complies with O.C.G.A. </w:t>
      </w:r>
      <w:r w:rsidR="00767702">
        <w:rPr>
          <w:rFonts w:cs="Arial"/>
        </w:rPr>
        <w:t>§</w:t>
      </w:r>
      <w:r w:rsidR="00E539B4">
        <w:t> </w:t>
      </w:r>
      <w:r w:rsidR="00767702">
        <w:t>46</w:t>
      </w:r>
      <w:r w:rsidR="00E539B4">
        <w:noBreakHyphen/>
      </w:r>
      <w:r w:rsidR="00767702">
        <w:t>3A</w:t>
      </w:r>
      <w:r w:rsidR="00E539B4">
        <w:noBreakHyphen/>
      </w:r>
      <w:r w:rsidR="00767702">
        <w:t xml:space="preserve">2 and this Commission’s rules, and </w:t>
      </w:r>
      <w:r w:rsidR="004775FE">
        <w:t>through</w:t>
      </w:r>
      <w:r w:rsidR="00767702">
        <w:t xml:space="preserve"> </w:t>
      </w:r>
      <w:r>
        <w:t xml:space="preserve">which the Company </w:t>
      </w:r>
      <w:r w:rsidR="0023534B">
        <w:t xml:space="preserve">shows its plans to continue to provide customers with </w:t>
      </w:r>
      <w:r w:rsidR="000F25D9">
        <w:t xml:space="preserve">clean, </w:t>
      </w:r>
      <w:r w:rsidR="0023534B">
        <w:t xml:space="preserve">safe, reliable, and </w:t>
      </w:r>
      <w:r w:rsidR="00864639">
        <w:t xml:space="preserve">affordable </w:t>
      </w:r>
      <w:r w:rsidR="0023534B">
        <w:t xml:space="preserve">electric service to meet the energy demands of its customers and the state of Georgia as its population and economy continue to grow. </w:t>
      </w:r>
      <w:r>
        <w:t xml:space="preserve">As such, the Company </w:t>
      </w:r>
      <w:r w:rsidR="00961645">
        <w:t>seeks approval of the</w:t>
      </w:r>
      <w:r w:rsidR="005E6B57">
        <w:t xml:space="preserve"> 2019 IRP</w:t>
      </w:r>
      <w:r w:rsidR="00250C81">
        <w:t xml:space="preserve"> and associated Action Plan</w:t>
      </w:r>
      <w:r w:rsidR="0073695B">
        <w:t xml:space="preserve"> contained in </w:t>
      </w:r>
      <w:r w:rsidR="00D16004">
        <w:fldChar w:fldCharType="begin"/>
      </w:r>
      <w:r w:rsidR="00D16004">
        <w:instrText xml:space="preserve"> REF _Ref535954016 \n \h </w:instrText>
      </w:r>
      <w:r w:rsidR="00D16004">
        <w:fldChar w:fldCharType="separate"/>
      </w:r>
      <w:r w:rsidR="00F33DA2">
        <w:t>CHAPTER 14</w:t>
      </w:r>
      <w:r w:rsidR="00D16004">
        <w:fldChar w:fldCharType="end"/>
      </w:r>
      <w:r w:rsidR="00250C81">
        <w:t>,</w:t>
      </w:r>
      <w:r w:rsidR="005E6B57">
        <w:t xml:space="preserve"> including the</w:t>
      </w:r>
      <w:r w:rsidR="00961645">
        <w:t xml:space="preserve"> following: </w:t>
      </w:r>
    </w:p>
    <w:p w14:paraId="1FCEBF3C" w14:textId="435E154C" w:rsidR="00F859C0" w:rsidRPr="0067752F" w:rsidRDefault="00F859C0" w:rsidP="004775FE">
      <w:pPr>
        <w:pStyle w:val="NoSpacing"/>
        <w:numPr>
          <w:ilvl w:val="0"/>
          <w:numId w:val="2"/>
        </w:numPr>
        <w:contextualSpacing w:val="0"/>
        <w:jc w:val="both"/>
      </w:pPr>
      <w:r w:rsidRPr="0067752F">
        <w:t xml:space="preserve">Adoption of seasonal planning to </w:t>
      </w:r>
      <w:r w:rsidR="009108C6" w:rsidRPr="0067752F">
        <w:t>provide greater visibility into both summer and winter capacity needs;</w:t>
      </w:r>
    </w:p>
    <w:p w14:paraId="24DF2658" w14:textId="67E7B2F5" w:rsidR="00F859C0" w:rsidRPr="0067752F" w:rsidRDefault="00F859C0" w:rsidP="004775FE">
      <w:pPr>
        <w:pStyle w:val="NoSpacing"/>
        <w:numPr>
          <w:ilvl w:val="0"/>
          <w:numId w:val="2"/>
        </w:numPr>
        <w:contextualSpacing w:val="0"/>
        <w:jc w:val="both"/>
      </w:pPr>
      <w:r w:rsidRPr="0067752F">
        <w:t>The Reserve Margin Study and its associated outputs, including continued use of a 16.25% Summer Target Reserve Margin, the addition of a 26% Winter Target Reserve Margin, and the associated short-term Target Reserve Margins for each season;</w:t>
      </w:r>
    </w:p>
    <w:p w14:paraId="58C441D0" w14:textId="04233F76" w:rsidR="005727D1" w:rsidRPr="0067752F" w:rsidRDefault="005727D1" w:rsidP="004775FE">
      <w:pPr>
        <w:pStyle w:val="NoSpacing"/>
        <w:numPr>
          <w:ilvl w:val="0"/>
          <w:numId w:val="2"/>
        </w:numPr>
        <w:contextualSpacing w:val="0"/>
        <w:jc w:val="both"/>
      </w:pPr>
      <w:r w:rsidRPr="0067752F">
        <w:t xml:space="preserve">A certificate of public convenience and necessity for </w:t>
      </w:r>
      <w:r w:rsidR="00B22078" w:rsidRPr="0067752F">
        <w:t>three</w:t>
      </w:r>
      <w:r w:rsidRPr="0067752F">
        <w:t xml:space="preserve"> new DSM programs, decertification of two DSM programs, amended certificate</w:t>
      </w:r>
      <w:r w:rsidR="000A1486" w:rsidRPr="0067752F">
        <w:t>s</w:t>
      </w:r>
      <w:r w:rsidRPr="0067752F">
        <w:t xml:space="preserve"> for </w:t>
      </w:r>
      <w:r w:rsidR="00CC3FAB">
        <w:t>three</w:t>
      </w:r>
      <w:r w:rsidRPr="0067752F">
        <w:t xml:space="preserve"> DSM programs, approval of the </w:t>
      </w:r>
      <w:r w:rsidR="004775FE">
        <w:t>I</w:t>
      </w:r>
      <w:r w:rsidRPr="0067752F">
        <w:t>ncome</w:t>
      </w:r>
      <w:r w:rsidR="00864639" w:rsidRPr="0067752F">
        <w:t>-</w:t>
      </w:r>
      <w:r w:rsidR="004775FE">
        <w:t>Q</w:t>
      </w:r>
      <w:r w:rsidRPr="0067752F">
        <w:t xml:space="preserve">ualified </w:t>
      </w:r>
      <w:r w:rsidR="004775FE">
        <w:t>T</w:t>
      </w:r>
      <w:r w:rsidRPr="0067752F">
        <w:t>ariff-</w:t>
      </w:r>
      <w:r w:rsidR="004775FE">
        <w:t>B</w:t>
      </w:r>
      <w:r w:rsidRPr="0067752F">
        <w:t>ased pilot program, and approval of updated program economics for all other previously certified DSM programs as further specified in the 2019</w:t>
      </w:r>
      <w:r w:rsidR="00AD77B5" w:rsidRPr="0067752F">
        <w:t xml:space="preserve"> DSM Application,</w:t>
      </w:r>
      <w:r w:rsidRPr="0067752F">
        <w:t xml:space="preserve"> Docket No. </w:t>
      </w:r>
      <w:r w:rsidR="00E21D38" w:rsidRPr="0067752F">
        <w:t>42311</w:t>
      </w:r>
      <w:r w:rsidRPr="0067752F">
        <w:t>;</w:t>
      </w:r>
    </w:p>
    <w:p w14:paraId="73278DD1" w14:textId="52640405" w:rsidR="00A97E42" w:rsidRPr="0067752F" w:rsidRDefault="00A97E42" w:rsidP="004775FE">
      <w:pPr>
        <w:pStyle w:val="NoSpacing"/>
        <w:numPr>
          <w:ilvl w:val="0"/>
          <w:numId w:val="2"/>
        </w:numPr>
        <w:contextualSpacing w:val="0"/>
        <w:jc w:val="both"/>
      </w:pPr>
      <w:r w:rsidRPr="0067752F">
        <w:t xml:space="preserve">The revised calculation of the additional sum collected through DSM programs certified in </w:t>
      </w:r>
      <w:r w:rsidR="00AD77B5" w:rsidRPr="0067752F">
        <w:t xml:space="preserve">the </w:t>
      </w:r>
      <w:r w:rsidRPr="0067752F">
        <w:t>2019 DSM Certification Application</w:t>
      </w:r>
      <w:r w:rsidR="00AD77B5" w:rsidRPr="0067752F">
        <w:t>,</w:t>
      </w:r>
      <w:r w:rsidRPr="0067752F">
        <w:t xml:space="preserve"> Docket No. </w:t>
      </w:r>
      <w:r w:rsidR="00E21D38" w:rsidRPr="0067752F">
        <w:t>42311</w:t>
      </w:r>
      <w:r w:rsidRPr="0067752F">
        <w:t xml:space="preserve">; </w:t>
      </w:r>
    </w:p>
    <w:p w14:paraId="217141BA" w14:textId="5BE21FB5" w:rsidR="00F859C0" w:rsidRPr="0067752F" w:rsidRDefault="00F859C0" w:rsidP="004775FE">
      <w:pPr>
        <w:pStyle w:val="NoSpacing"/>
        <w:numPr>
          <w:ilvl w:val="0"/>
          <w:numId w:val="2"/>
        </w:numPr>
        <w:contextualSpacing w:val="0"/>
        <w:jc w:val="both"/>
      </w:pPr>
      <w:r w:rsidRPr="0067752F">
        <w:t xml:space="preserve">Certification of approximately 18 MW of </w:t>
      </w:r>
      <w:r w:rsidR="006B5B33" w:rsidRPr="0067752F">
        <w:t xml:space="preserve">increased </w:t>
      </w:r>
      <w:r w:rsidRPr="0067752F">
        <w:t>hydro capacity for Plant Goat Rock Units 9-12;</w:t>
      </w:r>
    </w:p>
    <w:p w14:paraId="5759F48F" w14:textId="4F1C188D" w:rsidR="006549EE" w:rsidRPr="0067752F" w:rsidRDefault="004F75CB" w:rsidP="004775FE">
      <w:pPr>
        <w:pStyle w:val="NoSpacing"/>
        <w:numPr>
          <w:ilvl w:val="0"/>
          <w:numId w:val="2"/>
        </w:numPr>
        <w:contextualSpacing w:val="0"/>
        <w:jc w:val="both"/>
      </w:pPr>
      <w:r w:rsidRPr="0067752F">
        <w:t xml:space="preserve">Procurement of an additional </w:t>
      </w:r>
      <w:r w:rsidR="00450118" w:rsidRPr="0067752F">
        <w:t>950</w:t>
      </w:r>
      <w:r w:rsidRPr="0067752F">
        <w:t xml:space="preserve"> MW of </w:t>
      </w:r>
      <w:r w:rsidR="003A268D" w:rsidRPr="0067752F">
        <w:t xml:space="preserve">utility-scale </w:t>
      </w:r>
      <w:r w:rsidRPr="0067752F">
        <w:t xml:space="preserve">renewable resources through the new </w:t>
      </w:r>
      <w:r w:rsidR="004A1B75" w:rsidRPr="0067752F">
        <w:t>CRSP p</w:t>
      </w:r>
      <w:r w:rsidRPr="0067752F">
        <w:t xml:space="preserve">rogram, </w:t>
      </w:r>
      <w:r w:rsidR="004C597A">
        <w:t xml:space="preserve">utilizing </w:t>
      </w:r>
      <w:r w:rsidRPr="0067752F">
        <w:t>a market-based approach</w:t>
      </w:r>
      <w:r w:rsidR="005E6B57" w:rsidRPr="0067752F">
        <w:t>;</w:t>
      </w:r>
    </w:p>
    <w:p w14:paraId="2E13FE6D" w14:textId="7B46691A" w:rsidR="00450118" w:rsidRPr="0067752F" w:rsidRDefault="00450118" w:rsidP="004775FE">
      <w:pPr>
        <w:pStyle w:val="NoSpacing"/>
        <w:numPr>
          <w:ilvl w:val="0"/>
          <w:numId w:val="2"/>
        </w:numPr>
        <w:contextualSpacing w:val="0"/>
        <w:jc w:val="both"/>
      </w:pPr>
      <w:r w:rsidRPr="0067752F">
        <w:t xml:space="preserve">Procurement of an additional 50 MW of DG </w:t>
      </w:r>
      <w:r w:rsidR="0095553A" w:rsidRPr="0067752F">
        <w:t>renewable</w:t>
      </w:r>
      <w:r w:rsidR="0023799C" w:rsidRPr="0067752F">
        <w:t xml:space="preserve"> </w:t>
      </w:r>
      <w:r w:rsidR="00CF1B3E" w:rsidRPr="0067752F">
        <w:t xml:space="preserve">resources </w:t>
      </w:r>
      <w:r w:rsidRPr="0067752F">
        <w:t>utilizing a market-based approach;</w:t>
      </w:r>
    </w:p>
    <w:p w14:paraId="194E8EC0" w14:textId="0A891C82" w:rsidR="00906784" w:rsidRPr="0067752F" w:rsidRDefault="00311229" w:rsidP="004775FE">
      <w:pPr>
        <w:pStyle w:val="NoSpacing"/>
        <w:numPr>
          <w:ilvl w:val="0"/>
          <w:numId w:val="2"/>
        </w:numPr>
        <w:contextualSpacing w:val="0"/>
        <w:jc w:val="both"/>
      </w:pPr>
      <w:r w:rsidRPr="0067752F">
        <w:t>The</w:t>
      </w:r>
      <w:r w:rsidR="00263E0E" w:rsidRPr="0067752F">
        <w:t xml:space="preserve"> levelized additional sum in the amount of 10% of the net present value of the projected benefits from the PPAs procured through the CRSP and DG programs</w:t>
      </w:r>
      <w:r w:rsidR="00437877" w:rsidRPr="0067752F">
        <w:t>;</w:t>
      </w:r>
      <w:r w:rsidR="00906784" w:rsidRPr="0067752F">
        <w:t xml:space="preserve"> </w:t>
      </w:r>
    </w:p>
    <w:p w14:paraId="61909A71" w14:textId="15285DF9" w:rsidR="006549EE" w:rsidRPr="0067752F" w:rsidRDefault="004F75CB" w:rsidP="004775FE">
      <w:pPr>
        <w:pStyle w:val="NoSpacing"/>
        <w:numPr>
          <w:ilvl w:val="0"/>
          <w:numId w:val="2"/>
        </w:numPr>
        <w:contextualSpacing w:val="0"/>
        <w:jc w:val="both"/>
      </w:pPr>
      <w:r w:rsidRPr="0067752F">
        <w:t>The capital</w:t>
      </w:r>
      <w:r w:rsidR="00813637" w:rsidRPr="0067752F">
        <w:t xml:space="preserve"> and </w:t>
      </w:r>
      <w:r w:rsidR="00FA64AC" w:rsidRPr="0067752F">
        <w:t>operation and maintenance (“</w:t>
      </w:r>
      <w:r w:rsidR="00813637" w:rsidRPr="0067752F">
        <w:t>O&amp;M</w:t>
      </w:r>
      <w:r w:rsidR="00FA64AC" w:rsidRPr="0067752F">
        <w:t>”)</w:t>
      </w:r>
      <w:r w:rsidRPr="0067752F">
        <w:t xml:space="preserve"> costs the Company will incur for a portfolio of </w:t>
      </w:r>
      <w:r w:rsidR="004A1B75" w:rsidRPr="0067752F">
        <w:t xml:space="preserve">up to 50 MW of </w:t>
      </w:r>
      <w:r w:rsidRPr="0067752F">
        <w:t xml:space="preserve">energy storage projects </w:t>
      </w:r>
      <w:r w:rsidR="00C71CF7" w:rsidRPr="0067752F">
        <w:t xml:space="preserve">(but not yet the recovery), </w:t>
      </w:r>
      <w:r w:rsidRPr="0067752F">
        <w:t xml:space="preserve">as set out in the Selected Supporting Information section of Technical Appendix Volume </w:t>
      </w:r>
      <w:r w:rsidR="00077E39" w:rsidRPr="0067752F">
        <w:t>1</w:t>
      </w:r>
      <w:r w:rsidRPr="0067752F">
        <w:t>;</w:t>
      </w:r>
    </w:p>
    <w:p w14:paraId="1AC60586" w14:textId="5A0B1DA5" w:rsidR="0023534B" w:rsidRPr="0067752F" w:rsidRDefault="00255BBB" w:rsidP="004775FE">
      <w:pPr>
        <w:pStyle w:val="NoSpacing"/>
        <w:numPr>
          <w:ilvl w:val="0"/>
          <w:numId w:val="2"/>
        </w:numPr>
        <w:contextualSpacing w:val="0"/>
        <w:jc w:val="both"/>
      </w:pPr>
      <w:r w:rsidRPr="0067752F">
        <w:t>Revisions to the Simple Solar Tariff Large Volume Purchase Option pricing;</w:t>
      </w:r>
    </w:p>
    <w:p w14:paraId="0175418B" w14:textId="65CB2C62" w:rsidR="00BD3900" w:rsidRPr="0067752F" w:rsidRDefault="00147E2E" w:rsidP="004775FE">
      <w:pPr>
        <w:pStyle w:val="NoSpacing"/>
        <w:numPr>
          <w:ilvl w:val="0"/>
          <w:numId w:val="2"/>
        </w:numPr>
        <w:contextualSpacing w:val="0"/>
        <w:jc w:val="both"/>
      </w:pPr>
      <w:r w:rsidRPr="0067752F">
        <w:t xml:space="preserve">The capital, </w:t>
      </w:r>
      <w:r w:rsidR="00BD3900" w:rsidRPr="0067752F">
        <w:t>O&amp;M</w:t>
      </w:r>
      <w:r w:rsidRPr="0067752F">
        <w:t xml:space="preserve">, </w:t>
      </w:r>
      <w:r w:rsidR="00FA6368" w:rsidRPr="0067752F">
        <w:t>and</w:t>
      </w:r>
      <w:r w:rsidR="00CB2972">
        <w:t xml:space="preserve"> CCR</w:t>
      </w:r>
      <w:r w:rsidR="00FA6368" w:rsidRPr="0067752F">
        <w:t xml:space="preserve"> </w:t>
      </w:r>
      <w:r w:rsidR="00095F87" w:rsidRPr="0067752F">
        <w:t xml:space="preserve">ARO </w:t>
      </w:r>
      <w:r w:rsidR="00FA6368" w:rsidRPr="0067752F">
        <w:t xml:space="preserve">costs (but not yet the recovery) and </w:t>
      </w:r>
      <w:r w:rsidR="00BD3900" w:rsidRPr="0067752F">
        <w:t xml:space="preserve">associated measures taken to comply with government-imposed environmental mandates, </w:t>
      </w:r>
      <w:bookmarkStart w:id="26" w:name="_Hlk534975425"/>
      <w:r w:rsidR="00BD3900" w:rsidRPr="0067752F">
        <w:t xml:space="preserve">as set out in the ECS </w:t>
      </w:r>
      <w:r w:rsidR="00095F87" w:rsidRPr="0067752F">
        <w:t xml:space="preserve">in Technical Appendix Volume 2 and the ECCR and </w:t>
      </w:r>
      <w:r w:rsidR="00CB2972">
        <w:t xml:space="preserve">CCR </w:t>
      </w:r>
      <w:r w:rsidR="00095F87" w:rsidRPr="0067752F">
        <w:t xml:space="preserve">ARO tables in </w:t>
      </w:r>
      <w:r w:rsidR="00BD3900" w:rsidRPr="0067752F">
        <w:t xml:space="preserve">the Selected Supporting Information section of Technical Appendix Volume </w:t>
      </w:r>
      <w:r w:rsidR="00077E39" w:rsidRPr="0067752F">
        <w:t>1</w:t>
      </w:r>
      <w:bookmarkEnd w:id="26"/>
      <w:r w:rsidR="00452082" w:rsidRPr="0067752F">
        <w:t>;</w:t>
      </w:r>
    </w:p>
    <w:p w14:paraId="33AB716A" w14:textId="4BDD6B29" w:rsidR="00F859C0" w:rsidRPr="0067752F" w:rsidRDefault="00F859C0" w:rsidP="004775FE">
      <w:pPr>
        <w:pStyle w:val="NoSpacing"/>
        <w:numPr>
          <w:ilvl w:val="0"/>
          <w:numId w:val="2"/>
        </w:numPr>
        <w:contextualSpacing w:val="0"/>
        <w:jc w:val="both"/>
      </w:pPr>
      <w:r w:rsidRPr="0067752F">
        <w:t xml:space="preserve">Decertification of Plant Hammond Units 1-4, Plant McIntosh Unit 1, </w:t>
      </w:r>
      <w:r w:rsidR="00264429" w:rsidRPr="0067752F">
        <w:t xml:space="preserve">Plant Estatoah Unit 1, </w:t>
      </w:r>
      <w:r w:rsidRPr="0067752F">
        <w:t xml:space="preserve">Plant Langdale Units 5-6, </w:t>
      </w:r>
      <w:r w:rsidR="00264429" w:rsidRPr="0067752F">
        <w:t xml:space="preserve">and </w:t>
      </w:r>
      <w:r w:rsidRPr="0067752F">
        <w:t>Plant Riverview Units 1-2</w:t>
      </w:r>
      <w:r w:rsidR="001F7690" w:rsidRPr="0067752F">
        <w:t>,</w:t>
      </w:r>
      <w:r w:rsidR="00264429" w:rsidRPr="0067752F">
        <w:t xml:space="preserve"> </w:t>
      </w:r>
      <w:r w:rsidRPr="0067752F">
        <w:t xml:space="preserve">effective as </w:t>
      </w:r>
      <w:r w:rsidR="005E6B57" w:rsidRPr="0067752F">
        <w:t>of the final order in this proceeding</w:t>
      </w:r>
      <w:r w:rsidRPr="0067752F">
        <w:t>;</w:t>
      </w:r>
    </w:p>
    <w:p w14:paraId="192417CF" w14:textId="77777777" w:rsidR="00B029C7" w:rsidRPr="0067752F" w:rsidRDefault="00B029C7" w:rsidP="004775FE">
      <w:pPr>
        <w:pStyle w:val="NoSpacing"/>
        <w:numPr>
          <w:ilvl w:val="0"/>
          <w:numId w:val="2"/>
        </w:numPr>
        <w:contextualSpacing w:val="0"/>
        <w:jc w:val="both"/>
      </w:pPr>
      <w:r w:rsidRPr="0067752F">
        <w:t>Initiation of a 2022-2023 capacity-based RFP and a 2026-2028 capacity-based RFP;</w:t>
      </w:r>
    </w:p>
    <w:p w14:paraId="79BBC38A" w14:textId="10922DA4" w:rsidR="009674F5" w:rsidRPr="0067752F" w:rsidRDefault="009674F5" w:rsidP="004775FE">
      <w:pPr>
        <w:pStyle w:val="NoSpacing"/>
        <w:numPr>
          <w:ilvl w:val="0"/>
          <w:numId w:val="2"/>
        </w:numPr>
        <w:contextualSpacing w:val="0"/>
        <w:jc w:val="both"/>
      </w:pPr>
      <w:r w:rsidRPr="0067752F">
        <w:t>Reclassification of the remaining net book value of Plant Hammond Units 1-4 as of their respective retirement dates to regulatory asset accounts and the amortization of such regulatory asset accounts ratably over a period equal to the respective units</w:t>
      </w:r>
      <w:r w:rsidR="00F03FC8" w:rsidRPr="0067752F">
        <w:t>’</w:t>
      </w:r>
      <w:r w:rsidRPr="0067752F">
        <w:t xml:space="preserve"> remaining useful li</w:t>
      </w:r>
      <w:r w:rsidR="00F03FC8" w:rsidRPr="0067752F">
        <w:t>ves</w:t>
      </w:r>
      <w:r w:rsidRPr="0067752F">
        <w:t xml:space="preserve"> </w:t>
      </w:r>
      <w:r w:rsidR="0014479C" w:rsidRPr="0067752F">
        <w:t xml:space="preserve">as </w:t>
      </w:r>
      <w:r w:rsidRPr="0067752F">
        <w:t xml:space="preserve">approved in Docket No. </w:t>
      </w:r>
      <w:r w:rsidR="001B4CB8" w:rsidRPr="0067752F">
        <w:t>36989</w:t>
      </w:r>
      <w:r w:rsidRPr="0067752F">
        <w:t>;</w:t>
      </w:r>
    </w:p>
    <w:p w14:paraId="26E0622A" w14:textId="2699B3C3" w:rsidR="009674F5" w:rsidRPr="0067752F" w:rsidRDefault="009674F5" w:rsidP="004775FE">
      <w:pPr>
        <w:pStyle w:val="NoSpacing"/>
        <w:numPr>
          <w:ilvl w:val="0"/>
          <w:numId w:val="2"/>
        </w:numPr>
        <w:contextualSpacing w:val="0"/>
        <w:jc w:val="both"/>
      </w:pPr>
      <w:r w:rsidRPr="0067752F">
        <w:t xml:space="preserve">Reclassification of the remaining net book value of </w:t>
      </w:r>
      <w:r w:rsidR="005E72B4" w:rsidRPr="0067752F">
        <w:t xml:space="preserve">Plant McIntosh Unit 1, </w:t>
      </w:r>
      <w:r w:rsidRPr="0067752F">
        <w:t xml:space="preserve">Plant Estatoah Unit 1, Plant Langdale Units 5-6, and Plant Riverview Units 1-2 as of their respective retirement dates to regulatory asset accounts and the amortization of such regulatory asset accounts ratably over a 3-year period in the </w:t>
      </w:r>
      <w:r w:rsidR="00A44826" w:rsidRPr="0067752F">
        <w:t xml:space="preserve">Company’s </w:t>
      </w:r>
      <w:r w:rsidRPr="0067752F">
        <w:t>next base rate case;</w:t>
      </w:r>
    </w:p>
    <w:p w14:paraId="0922BA3B" w14:textId="434ECF69" w:rsidR="009674F5" w:rsidRPr="0067752F" w:rsidRDefault="0023534B" w:rsidP="004775FE">
      <w:pPr>
        <w:pStyle w:val="NoSpacing"/>
        <w:numPr>
          <w:ilvl w:val="0"/>
          <w:numId w:val="2"/>
        </w:numPr>
        <w:contextualSpacing w:val="0"/>
        <w:jc w:val="both"/>
      </w:pPr>
      <w:bookmarkStart w:id="27" w:name="_Hlk532985675"/>
      <w:r w:rsidRPr="0067752F">
        <w:t>Reclassification of any unusable material and supplies inventory balance remaining at the unit retirement dates to a regulatory asset for recovery over a period to be determined by the Commission in the Company’s next base rate case, consistent with treatment of such balance in the 2016 IRP Order; and</w:t>
      </w:r>
    </w:p>
    <w:bookmarkEnd w:id="27"/>
    <w:p w14:paraId="56E58EB4" w14:textId="2F0DA0C4" w:rsidR="006549EE" w:rsidRPr="0067752F" w:rsidRDefault="004F75CB" w:rsidP="004775FE">
      <w:pPr>
        <w:pStyle w:val="NoSpacing"/>
        <w:numPr>
          <w:ilvl w:val="0"/>
          <w:numId w:val="2"/>
        </w:numPr>
        <w:contextualSpacing w:val="0"/>
        <w:jc w:val="both"/>
      </w:pPr>
      <w:r w:rsidRPr="0067752F">
        <w:t xml:space="preserve">Certification of 25 MW of wholesale capacity </w:t>
      </w:r>
      <w:r w:rsidR="004E08CE" w:rsidRPr="0067752F">
        <w:t xml:space="preserve">from Plant Scherer Unit 3 to be </w:t>
      </w:r>
      <w:r w:rsidRPr="0067752F">
        <w:t>placed in retail rate base effective January 1, 2020</w:t>
      </w:r>
      <w:r w:rsidR="00734F69" w:rsidRPr="0067752F">
        <w:t>.</w:t>
      </w:r>
    </w:p>
    <w:p w14:paraId="7EBFADEF" w14:textId="191C5148" w:rsidR="004F7248" w:rsidRDefault="004F7248" w:rsidP="002B222A">
      <w:pPr>
        <w:spacing w:after="160" w:line="259" w:lineRule="auto"/>
      </w:pPr>
      <w:r>
        <w:br w:type="page"/>
      </w:r>
    </w:p>
    <w:p w14:paraId="6312D664" w14:textId="31FBE617" w:rsidR="004F7248" w:rsidRDefault="004F7248" w:rsidP="00593BD0">
      <w:pPr>
        <w:pStyle w:val="Heading1"/>
      </w:pPr>
      <w:bookmarkStart w:id="28" w:name="_Toc536209120"/>
      <w:bookmarkStart w:id="29" w:name="_Hlk531701861"/>
      <w:r>
        <w:t>COMPANY OVERVIEW</w:t>
      </w:r>
      <w:bookmarkEnd w:id="28"/>
    </w:p>
    <w:p w14:paraId="049D69D8" w14:textId="25AA1376" w:rsidR="00F3145E" w:rsidRDefault="00F3145E" w:rsidP="006549EE">
      <w:r>
        <w:t xml:space="preserve">Georgia Power, a wholly owned subsidiary of Southern Company, is an investor-owned electric utility that serves </w:t>
      </w:r>
      <w:r w:rsidRPr="001A5A8A">
        <w:t>approximately 2.</w:t>
      </w:r>
      <w:r w:rsidR="001A5A8A" w:rsidRPr="001A5A8A">
        <w:t>6</w:t>
      </w:r>
      <w:r w:rsidRPr="001A5A8A">
        <w:t xml:space="preserve"> million retail</w:t>
      </w:r>
      <w:r>
        <w:t xml:space="preserve"> customers in all but four of Georgia’s 159 counties. Georgia Power electric service is available in </w:t>
      </w:r>
      <w:r w:rsidRPr="00D46042">
        <w:t>57,000</w:t>
      </w:r>
      <w:r>
        <w:t xml:space="preserve"> of the state’s 59,000 square miles.</w:t>
      </w:r>
    </w:p>
    <w:p w14:paraId="58947FEE" w14:textId="356AD2DA" w:rsidR="00FB0DE0" w:rsidRDefault="00F3145E" w:rsidP="009258A1">
      <w:r>
        <w:t>Southern Company is the parent of Georgia Power, Alabama P</w:t>
      </w:r>
      <w:r w:rsidR="00BB4F7E">
        <w:t xml:space="preserve">ower Company (“Alabama Power”), </w:t>
      </w:r>
      <w:r>
        <w:t>Mississippi Power Company (“Mississippi Power”), Southern Power Company (“Southern Power”),</w:t>
      </w:r>
      <w:r w:rsidR="00511870">
        <w:t xml:space="preserve"> </w:t>
      </w:r>
      <w:r w:rsidR="00BB4F7E">
        <w:t xml:space="preserve">and </w:t>
      </w:r>
      <w:r>
        <w:t>Southern Company Ga</w:t>
      </w:r>
      <w:r w:rsidR="0029280F">
        <w:t>s (formerly AGL Resources Inc.)</w:t>
      </w:r>
      <w:r>
        <w:t xml:space="preserve">. </w:t>
      </w:r>
      <w:r w:rsidR="00511870">
        <w:t xml:space="preserve">On January 1, 2019, Southern Company completed the sale of Gulf Power Company (“Gulf Power”) and other Florida assets to NextEra Energy, Inc. </w:t>
      </w:r>
      <w:r w:rsidR="00AA0AF8" w:rsidRPr="00CD120D">
        <w:t>Gulf Power will remain part of the Pool</w:t>
      </w:r>
      <w:r w:rsidR="00AA0AF8">
        <w:rPr>
          <w:rStyle w:val="FootnoteReference"/>
        </w:rPr>
        <w:footnoteReference w:id="2"/>
      </w:r>
      <w:r w:rsidR="00AA0AF8" w:rsidRPr="00CD120D">
        <w:t xml:space="preserve"> for </w:t>
      </w:r>
      <w:r w:rsidR="006D17F0">
        <w:t>a</w:t>
      </w:r>
      <w:r w:rsidR="006D17F0" w:rsidRPr="00CD120D">
        <w:t xml:space="preserve"> </w:t>
      </w:r>
      <w:r w:rsidR="006D17F0">
        <w:t>t</w:t>
      </w:r>
      <w:r w:rsidR="00AA0AF8" w:rsidRPr="00CD120D">
        <w:t xml:space="preserve">ransition </w:t>
      </w:r>
      <w:r w:rsidR="006D17F0">
        <w:t>p</w:t>
      </w:r>
      <w:r w:rsidR="00AA0AF8" w:rsidRPr="00CD120D">
        <w:t>eriod and be treated similarly to the 12 months prior to closing.</w:t>
      </w:r>
      <w:r w:rsidR="00AA0AF8">
        <w:t xml:space="preserve"> The </w:t>
      </w:r>
      <w:r w:rsidR="004039AD">
        <w:t>“</w:t>
      </w:r>
      <w:r w:rsidR="00AA0AF8">
        <w:t>Transition Period</w:t>
      </w:r>
      <w:r w:rsidR="004039AD">
        <w:t>”</w:t>
      </w:r>
      <w:r w:rsidR="00AA0AF8">
        <w:t xml:space="preserve"> is defined as five years from the date the transaction closes with the possibility of an extension for </w:t>
      </w:r>
      <w:r w:rsidR="009F4193">
        <w:t>two</w:t>
      </w:r>
      <w:r w:rsidR="00AA0AF8">
        <w:t xml:space="preserve"> additional years. Although Southern Company and NextEra Energy agreed a five</w:t>
      </w:r>
      <w:r w:rsidR="002A75B4">
        <w:t>-</w:t>
      </w:r>
      <w:r w:rsidR="00AA0AF8">
        <w:t xml:space="preserve"> to seven-year Transition Period will likely be needed, Gulf Power has the right to withdraw from the Pool at a</w:t>
      </w:r>
      <w:r w:rsidR="009258A1">
        <w:t>ny time with 180 days’ notice.</w:t>
      </w:r>
      <w:r w:rsidR="007B58CD">
        <w:t xml:space="preserve"> T</w:t>
      </w:r>
      <w:r w:rsidR="00963648">
        <w:t xml:space="preserve">he Company’s analysis </w:t>
      </w:r>
      <w:r w:rsidR="002A1314">
        <w:t xml:space="preserve">in this IRP </w:t>
      </w:r>
      <w:r w:rsidR="00963648">
        <w:t>assume</w:t>
      </w:r>
      <w:r w:rsidR="002A1314">
        <w:t>s</w:t>
      </w:r>
      <w:r w:rsidR="00963648">
        <w:t xml:space="preserve"> Gulf Power’s continued participation in the Pool. E</w:t>
      </w:r>
      <w:r w:rsidR="00FB0DE0">
        <w:t>xcept whe</w:t>
      </w:r>
      <w:r w:rsidR="009B12D7">
        <w:t>re otherwise</w:t>
      </w:r>
      <w:r w:rsidR="00FB0DE0">
        <w:t xml:space="preserve"> noted, Alabama Power, Georgia Power, Mississippi Power, </w:t>
      </w:r>
      <w:r w:rsidR="00507084">
        <w:t xml:space="preserve">and Gulf Power (collectively, the “Retail OpCos”) as well as </w:t>
      </w:r>
      <w:r w:rsidR="00FB0DE0">
        <w:t xml:space="preserve">Southern Power are considered </w:t>
      </w:r>
      <w:r w:rsidR="00507084">
        <w:t xml:space="preserve">the electric </w:t>
      </w:r>
      <w:r w:rsidR="00FB0DE0">
        <w:t>“Operating Companies”</w:t>
      </w:r>
      <w:r w:rsidR="00507084">
        <w:t xml:space="preserve"> </w:t>
      </w:r>
      <w:r w:rsidR="00DA21C3">
        <w:t xml:space="preserve">for this </w:t>
      </w:r>
      <w:r w:rsidR="002A75B4">
        <w:t xml:space="preserve">2019 </w:t>
      </w:r>
      <w:r w:rsidR="00DA21C3">
        <w:t xml:space="preserve">IRP. </w:t>
      </w:r>
      <w:r w:rsidR="0073481C">
        <w:t>The Retail Opcos will continue to be members of the S</w:t>
      </w:r>
      <w:r w:rsidR="009258A1">
        <w:t>ou</w:t>
      </w:r>
      <w:r w:rsidR="0073481C">
        <w:t>theastern Electric Reliability Council (“SERC”), a group of electric utilities (and other electric-related utilities) coordinating operations and other measures to maintain a high level of reliability for the electrical system in the Southeastern United States</w:t>
      </w:r>
      <w:r w:rsidR="007136B4">
        <w:t xml:space="preserve"> (“US”)</w:t>
      </w:r>
      <w:r w:rsidR="0073481C">
        <w:t>.</w:t>
      </w:r>
    </w:p>
    <w:p w14:paraId="1281CB5B" w14:textId="76290809" w:rsidR="00110CF3" w:rsidRDefault="00F3145E" w:rsidP="00110CF3">
      <w:pPr>
        <w:rPr>
          <w:noProof/>
        </w:rPr>
      </w:pPr>
      <w:r w:rsidRPr="005F7FE1">
        <w:t xml:space="preserve">As of December </w:t>
      </w:r>
      <w:r w:rsidRPr="001476A0">
        <w:t xml:space="preserve">31, 2018, Georgia Power has </w:t>
      </w:r>
      <w:r w:rsidR="001476A0" w:rsidRPr="001476A0">
        <w:t xml:space="preserve">ownership in </w:t>
      </w:r>
      <w:r w:rsidR="000C492E" w:rsidRPr="001476A0">
        <w:t>13</w:t>
      </w:r>
      <w:r w:rsidR="00547911">
        <w:t>5</w:t>
      </w:r>
      <w:r w:rsidR="000C492E" w:rsidRPr="001476A0">
        <w:t xml:space="preserve"> </w:t>
      </w:r>
      <w:r w:rsidR="00547911">
        <w:t xml:space="preserve">retail-serving </w:t>
      </w:r>
      <w:r w:rsidR="000C492E" w:rsidRPr="001476A0">
        <w:t xml:space="preserve">generating units, including </w:t>
      </w:r>
      <w:r w:rsidR="00547911" w:rsidRPr="001476A0">
        <w:t>5 combined cycle (“CC”)</w:t>
      </w:r>
      <w:r w:rsidR="00547911">
        <w:t xml:space="preserve">, </w:t>
      </w:r>
      <w:r w:rsidR="00547911" w:rsidRPr="001476A0">
        <w:t xml:space="preserve">16 fossil steam, 4 nuclear, </w:t>
      </w:r>
      <w:r w:rsidR="00547911">
        <w:t>8</w:t>
      </w:r>
      <w:r w:rsidR="00547911" w:rsidRPr="001476A0">
        <w:t xml:space="preserve"> </w:t>
      </w:r>
      <w:r w:rsidR="00547911">
        <w:t>renewable</w:t>
      </w:r>
      <w:r w:rsidR="00547911" w:rsidRPr="001476A0">
        <w:t xml:space="preserve">, </w:t>
      </w:r>
      <w:r w:rsidRPr="001476A0">
        <w:t xml:space="preserve">71 </w:t>
      </w:r>
      <w:r w:rsidR="009649EE" w:rsidRPr="001476A0">
        <w:t>hydro</w:t>
      </w:r>
      <w:r w:rsidRPr="001476A0">
        <w:t xml:space="preserve">, and </w:t>
      </w:r>
      <w:r w:rsidR="000C492E" w:rsidRPr="001476A0">
        <w:t xml:space="preserve">31 </w:t>
      </w:r>
      <w:r w:rsidRPr="001476A0">
        <w:t>combustion turbine (“</w:t>
      </w:r>
      <w:r w:rsidR="001476A0">
        <w:t>CT</w:t>
      </w:r>
      <w:r w:rsidRPr="001476A0">
        <w:t>”)</w:t>
      </w:r>
      <w:r w:rsidR="001476A0" w:rsidRPr="001476A0">
        <w:t xml:space="preserve"> or diesel engine</w:t>
      </w:r>
      <w:r w:rsidR="001476A0">
        <w:t xml:space="preserve"> units</w:t>
      </w:r>
      <w:r w:rsidRPr="001476A0">
        <w:t xml:space="preserve">, </w:t>
      </w:r>
      <w:r w:rsidR="000C492E" w:rsidRPr="001476A0">
        <w:t>three</w:t>
      </w:r>
      <w:r w:rsidRPr="001476A0">
        <w:t xml:space="preserve"> </w:t>
      </w:r>
      <w:r w:rsidR="000C492E" w:rsidRPr="001476A0">
        <w:t xml:space="preserve">of </w:t>
      </w:r>
      <w:r w:rsidRPr="001476A0">
        <w:t xml:space="preserve">which </w:t>
      </w:r>
      <w:r w:rsidR="001476A0" w:rsidRPr="001476A0">
        <w:t>at least have seasonal usage restrictions</w:t>
      </w:r>
      <w:r w:rsidR="00F50834" w:rsidRPr="001476A0">
        <w:t xml:space="preserve">. </w:t>
      </w:r>
      <w:r w:rsidR="001933E6" w:rsidRPr="001476A0">
        <w:t xml:space="preserve">Georgia Power meets retail customers’ energy requirements and peak demands through a diverse portfolio of </w:t>
      </w:r>
      <w:r w:rsidR="001F7690" w:rsidRPr="001476A0">
        <w:t>Company-</w:t>
      </w:r>
      <w:r w:rsidR="001933E6" w:rsidRPr="001476A0">
        <w:t>owned resources, PPAs, and dispatchable DSO</w:t>
      </w:r>
      <w:r w:rsidR="00CA7073" w:rsidRPr="001476A0">
        <w:t>s</w:t>
      </w:r>
      <w:r w:rsidR="001933E6" w:rsidRPr="001476A0">
        <w:t xml:space="preserve">. </w:t>
      </w:r>
      <w:r w:rsidRPr="001476A0">
        <w:t xml:space="preserve">Of the energy </w:t>
      </w:r>
      <w:r w:rsidR="00AA3509" w:rsidRPr="001476A0">
        <w:t>generated</w:t>
      </w:r>
      <w:r w:rsidRPr="001476A0">
        <w:t xml:space="preserve"> to meet </w:t>
      </w:r>
      <w:r w:rsidR="004902EA">
        <w:t xml:space="preserve">retail </w:t>
      </w:r>
      <w:r w:rsidRPr="001476A0">
        <w:t>customer</w:t>
      </w:r>
      <w:r w:rsidR="00AA3509" w:rsidRPr="001476A0">
        <w:t>s’</w:t>
      </w:r>
      <w:r w:rsidRPr="001476A0">
        <w:t xml:space="preserve"> needs </w:t>
      </w:r>
      <w:r w:rsidR="00F77729" w:rsidRPr="001476A0">
        <w:t xml:space="preserve">in </w:t>
      </w:r>
      <w:r w:rsidRPr="001476A0">
        <w:t xml:space="preserve">2018, </w:t>
      </w:r>
      <w:r w:rsidR="00AA3509" w:rsidRPr="001476A0">
        <w:t>4</w:t>
      </w:r>
      <w:r w:rsidR="003A7282">
        <w:t>5</w:t>
      </w:r>
      <w:r w:rsidR="00D43B09">
        <w:t>% was from natural gas</w:t>
      </w:r>
      <w:r w:rsidR="00AA3509" w:rsidRPr="001476A0">
        <w:t xml:space="preserve">, </w:t>
      </w:r>
      <w:r w:rsidR="003A7282">
        <w:t>25</w:t>
      </w:r>
      <w:r w:rsidRPr="001476A0">
        <w:t>% from coal, 2</w:t>
      </w:r>
      <w:r w:rsidR="003A7282">
        <w:t>2</w:t>
      </w:r>
      <w:r w:rsidRPr="001476A0">
        <w:t xml:space="preserve">% from nuclear, </w:t>
      </w:r>
      <w:r w:rsidR="003A7282">
        <w:t>3</w:t>
      </w:r>
      <w:r w:rsidRPr="001476A0">
        <w:t xml:space="preserve">% from renewables, </w:t>
      </w:r>
      <w:r w:rsidR="00EE2689">
        <w:t>2</w:t>
      </w:r>
      <w:r w:rsidR="003A7282">
        <w:t>% from hydro, 2</w:t>
      </w:r>
      <w:r w:rsidR="001476A0" w:rsidRPr="001476A0">
        <w:t>%</w:t>
      </w:r>
      <w:r w:rsidR="003A7282">
        <w:t xml:space="preserve"> from</w:t>
      </w:r>
      <w:r w:rsidR="001476A0" w:rsidRPr="001476A0">
        <w:t xml:space="preserve"> null energy, </w:t>
      </w:r>
      <w:r w:rsidR="00576471">
        <w:t xml:space="preserve">and </w:t>
      </w:r>
      <w:r w:rsidR="00EE2689">
        <w:t>less than 1</w:t>
      </w:r>
      <w:r w:rsidR="00576471">
        <w:t>% from oil</w:t>
      </w:r>
      <w:r w:rsidR="003A7282">
        <w:t>-fired</w:t>
      </w:r>
      <w:r w:rsidR="00AA3509">
        <w:t xml:space="preserve"> resources</w:t>
      </w:r>
      <w:r w:rsidRPr="005F7FE1">
        <w:t>.</w:t>
      </w:r>
      <w:r>
        <w:t xml:space="preserve"> Shown </w:t>
      </w:r>
      <w:r w:rsidR="006A7A75">
        <w:t xml:space="preserve">in </w:t>
      </w:r>
      <w:r w:rsidR="006A7A75">
        <w:fldChar w:fldCharType="begin"/>
      </w:r>
      <w:r w:rsidR="006A7A75">
        <w:instrText xml:space="preserve"> REF _Ref531269540 \h </w:instrText>
      </w:r>
      <w:r w:rsidR="006A7A75">
        <w:fldChar w:fldCharType="separate"/>
      </w:r>
      <w:r w:rsidR="00F33DA2">
        <w:t xml:space="preserve">Figure </w:t>
      </w:r>
      <w:r w:rsidR="00F33DA2">
        <w:rPr>
          <w:noProof/>
        </w:rPr>
        <w:t>1</w:t>
      </w:r>
      <w:r w:rsidR="006A7A75">
        <w:fldChar w:fldCharType="end"/>
      </w:r>
      <w:r>
        <w:t xml:space="preserve"> </w:t>
      </w:r>
      <w:r w:rsidR="004E08CE">
        <w:t xml:space="preserve">are the Company’s </w:t>
      </w:r>
      <w:r w:rsidR="00CF1B3E">
        <w:t xml:space="preserve">projected </w:t>
      </w:r>
      <w:r w:rsidR="00CA7073">
        <w:t xml:space="preserve">summer </w:t>
      </w:r>
      <w:r w:rsidR="004E08CE">
        <w:t>201</w:t>
      </w:r>
      <w:r w:rsidR="002260F1">
        <w:t>9</w:t>
      </w:r>
      <w:r w:rsidR="004E08CE">
        <w:t xml:space="preserve"> and </w:t>
      </w:r>
      <w:r w:rsidR="00CA7073">
        <w:t xml:space="preserve">summer </w:t>
      </w:r>
      <w:r w:rsidR="004E08CE">
        <w:t>202</w:t>
      </w:r>
      <w:r w:rsidR="004B504C">
        <w:t>4</w:t>
      </w:r>
      <w:r w:rsidR="004E08CE">
        <w:t xml:space="preserve"> capacity mixes, which </w:t>
      </w:r>
      <w:r w:rsidR="009108C6">
        <w:t xml:space="preserve">account for </w:t>
      </w:r>
      <w:r w:rsidR="004E08CE">
        <w:t>the most recent unit capacity ratings</w:t>
      </w:r>
      <w:r w:rsidR="009108C6">
        <w:t xml:space="preserve"> and reflect approval of the certification and decertification requests expressed in this filing</w:t>
      </w:r>
      <w:r>
        <w:t>.</w:t>
      </w:r>
      <w:r w:rsidR="00FA6368">
        <w:t xml:space="preserve"> Unit-specific capacity information can be found </w:t>
      </w:r>
      <w:r w:rsidR="008722C4">
        <w:t xml:space="preserve">in the Resource Ledger contained </w:t>
      </w:r>
      <w:r w:rsidR="00FA6368">
        <w:t xml:space="preserve">in Technical Appendix </w:t>
      </w:r>
      <w:r w:rsidR="00FA6368" w:rsidRPr="00F33DA2">
        <w:t xml:space="preserve">Volume </w:t>
      </w:r>
      <w:r w:rsidR="008722C4" w:rsidRPr="00F33DA2">
        <w:t>2</w:t>
      </w:r>
      <w:r w:rsidR="00FA6368" w:rsidRPr="00F33DA2">
        <w:t>.</w:t>
      </w:r>
    </w:p>
    <w:p w14:paraId="45EC2C5B" w14:textId="77836AFC" w:rsidR="006A7A75" w:rsidRDefault="004B504C" w:rsidP="00FC5FE2">
      <w:pPr>
        <w:keepNext/>
        <w:spacing w:after="0"/>
        <w:jc w:val="center"/>
      </w:pPr>
      <w:r>
        <w:rPr>
          <w:noProof/>
        </w:rPr>
        <w:drawing>
          <wp:inline distT="0" distB="0" distL="0" distR="0" wp14:anchorId="16A4DB0F" wp14:editId="096A0216">
            <wp:extent cx="5846445" cy="29324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6445" cy="2932430"/>
                    </a:xfrm>
                    <a:prstGeom prst="rect">
                      <a:avLst/>
                    </a:prstGeom>
                    <a:noFill/>
                  </pic:spPr>
                </pic:pic>
              </a:graphicData>
            </a:graphic>
          </wp:inline>
        </w:drawing>
      </w:r>
    </w:p>
    <w:p w14:paraId="68260681" w14:textId="041D0182" w:rsidR="006A7A75" w:rsidRDefault="006A7A75" w:rsidP="006A7A75">
      <w:pPr>
        <w:pStyle w:val="Caption"/>
        <w:jc w:val="center"/>
        <w:rPr>
          <w:rFonts w:cstheme="majorHAnsi"/>
          <w:color w:val="FF0000"/>
          <w:sz w:val="14"/>
        </w:rPr>
      </w:pPr>
      <w:r w:rsidRPr="00110CF3">
        <w:rPr>
          <w:rFonts w:cstheme="majorHAnsi"/>
          <w:color w:val="FF0000"/>
          <w:sz w:val="14"/>
        </w:rPr>
        <w:t>Note: Th</w:t>
      </w:r>
      <w:r w:rsidR="00AA3509">
        <w:rPr>
          <w:rFonts w:cstheme="majorHAnsi"/>
          <w:color w:val="FF0000"/>
          <w:sz w:val="14"/>
        </w:rPr>
        <w:t>e</w:t>
      </w:r>
      <w:r w:rsidR="00115366">
        <w:rPr>
          <w:rFonts w:cstheme="majorHAnsi"/>
          <w:color w:val="FF0000"/>
          <w:sz w:val="14"/>
        </w:rPr>
        <w:t>se</w:t>
      </w:r>
      <w:r w:rsidRPr="00110CF3">
        <w:rPr>
          <w:rFonts w:cstheme="majorHAnsi"/>
          <w:color w:val="FF0000"/>
          <w:sz w:val="14"/>
        </w:rPr>
        <w:t xml:space="preserve"> </w:t>
      </w:r>
      <w:r w:rsidR="00AA3509">
        <w:rPr>
          <w:rFonts w:cstheme="majorHAnsi"/>
          <w:color w:val="FF0000"/>
          <w:sz w:val="14"/>
        </w:rPr>
        <w:t xml:space="preserve">capacity </w:t>
      </w:r>
      <w:r w:rsidRPr="00110CF3">
        <w:rPr>
          <w:rFonts w:cstheme="majorHAnsi"/>
          <w:color w:val="FF0000"/>
          <w:sz w:val="14"/>
        </w:rPr>
        <w:t>mix</w:t>
      </w:r>
      <w:r w:rsidR="00AA3509">
        <w:rPr>
          <w:rFonts w:cstheme="majorHAnsi"/>
          <w:color w:val="FF0000"/>
          <w:sz w:val="14"/>
        </w:rPr>
        <w:t xml:space="preserve">es reflect </w:t>
      </w:r>
      <w:r w:rsidRPr="00110CF3">
        <w:rPr>
          <w:rFonts w:cstheme="majorHAnsi"/>
          <w:color w:val="FF0000"/>
          <w:sz w:val="14"/>
        </w:rPr>
        <w:t xml:space="preserve">demonstrated </w:t>
      </w:r>
      <w:r w:rsidR="00115366">
        <w:rPr>
          <w:rFonts w:cstheme="majorHAnsi"/>
          <w:color w:val="FF0000"/>
          <w:sz w:val="14"/>
        </w:rPr>
        <w:t xml:space="preserve">retail </w:t>
      </w:r>
      <w:r w:rsidRPr="00110CF3">
        <w:rPr>
          <w:rFonts w:cstheme="majorHAnsi"/>
          <w:color w:val="FF0000"/>
          <w:sz w:val="14"/>
        </w:rPr>
        <w:t xml:space="preserve">capacity for traditional </w:t>
      </w:r>
      <w:r w:rsidR="00AA3509">
        <w:rPr>
          <w:rFonts w:cstheme="majorHAnsi"/>
          <w:color w:val="FF0000"/>
          <w:sz w:val="14"/>
        </w:rPr>
        <w:t>resources,</w:t>
      </w:r>
      <w:r w:rsidRPr="00110CF3">
        <w:rPr>
          <w:rFonts w:cstheme="majorHAnsi"/>
          <w:color w:val="FF0000"/>
          <w:sz w:val="14"/>
        </w:rPr>
        <w:t xml:space="preserve"> nameplate capacity for </w:t>
      </w:r>
      <w:r w:rsidR="00754B3E">
        <w:rPr>
          <w:rFonts w:cstheme="majorHAnsi"/>
          <w:color w:val="FF0000"/>
          <w:sz w:val="14"/>
        </w:rPr>
        <w:t xml:space="preserve">retail-serving </w:t>
      </w:r>
      <w:r w:rsidRPr="00110CF3">
        <w:rPr>
          <w:rFonts w:cstheme="majorHAnsi"/>
          <w:color w:val="FF0000"/>
          <w:sz w:val="14"/>
        </w:rPr>
        <w:t xml:space="preserve">renewable </w:t>
      </w:r>
      <w:r w:rsidR="00AA3509">
        <w:rPr>
          <w:rFonts w:cstheme="majorHAnsi"/>
          <w:color w:val="FF0000"/>
          <w:sz w:val="14"/>
        </w:rPr>
        <w:t xml:space="preserve">resources, </w:t>
      </w:r>
      <w:r w:rsidRPr="00110CF3">
        <w:rPr>
          <w:rFonts w:cstheme="majorHAnsi"/>
          <w:color w:val="FF0000"/>
          <w:sz w:val="14"/>
        </w:rPr>
        <w:t xml:space="preserve">and program capacity for </w:t>
      </w:r>
      <w:r w:rsidR="007F544C">
        <w:rPr>
          <w:rFonts w:cstheme="majorHAnsi"/>
          <w:color w:val="FF0000"/>
          <w:sz w:val="14"/>
        </w:rPr>
        <w:t xml:space="preserve">dispatchable </w:t>
      </w:r>
      <w:r w:rsidR="00AA3509">
        <w:rPr>
          <w:rFonts w:cstheme="majorHAnsi"/>
          <w:color w:val="FF0000"/>
          <w:sz w:val="14"/>
        </w:rPr>
        <w:t>DSO</w:t>
      </w:r>
      <w:r w:rsidR="003E1F57">
        <w:rPr>
          <w:rFonts w:cstheme="majorHAnsi"/>
          <w:color w:val="FF0000"/>
          <w:sz w:val="14"/>
        </w:rPr>
        <w:t>s</w:t>
      </w:r>
      <w:r w:rsidRPr="00110CF3">
        <w:rPr>
          <w:rFonts w:cstheme="majorHAnsi"/>
          <w:color w:val="FF0000"/>
          <w:sz w:val="14"/>
        </w:rPr>
        <w:t xml:space="preserve">. A portion of the projected renewable generation capacity includes capacity where the renewable generator retains the related </w:t>
      </w:r>
      <w:r w:rsidR="00CA7073">
        <w:rPr>
          <w:rFonts w:cstheme="majorHAnsi"/>
          <w:color w:val="FF0000"/>
          <w:sz w:val="14"/>
        </w:rPr>
        <w:t>RECs</w:t>
      </w:r>
      <w:r w:rsidRPr="00110CF3">
        <w:rPr>
          <w:rFonts w:cstheme="majorHAnsi"/>
          <w:color w:val="FF0000"/>
          <w:sz w:val="14"/>
        </w:rPr>
        <w:t>.</w:t>
      </w:r>
    </w:p>
    <w:p w14:paraId="2D8F7F8D" w14:textId="64D178CC" w:rsidR="00F3145E" w:rsidRPr="00C7499E" w:rsidRDefault="006A7A75" w:rsidP="00C7499E">
      <w:pPr>
        <w:pStyle w:val="Caption"/>
        <w:jc w:val="center"/>
      </w:pPr>
      <w:bookmarkStart w:id="30" w:name="_Ref531269540"/>
      <w:r>
        <w:t xml:space="preserve">Figure </w:t>
      </w:r>
      <w:r w:rsidR="00FA0526">
        <w:rPr>
          <w:noProof/>
        </w:rPr>
        <w:fldChar w:fldCharType="begin"/>
      </w:r>
      <w:r w:rsidR="00FA0526">
        <w:rPr>
          <w:noProof/>
        </w:rPr>
        <w:instrText xml:space="preserve"> SEQ Figure \* ARABIC </w:instrText>
      </w:r>
      <w:r w:rsidR="00FA0526">
        <w:rPr>
          <w:noProof/>
        </w:rPr>
        <w:fldChar w:fldCharType="separate"/>
      </w:r>
      <w:r w:rsidR="00F33DA2">
        <w:rPr>
          <w:noProof/>
        </w:rPr>
        <w:t>1</w:t>
      </w:r>
      <w:r w:rsidR="00FA0526">
        <w:rPr>
          <w:noProof/>
        </w:rPr>
        <w:fldChar w:fldCharType="end"/>
      </w:r>
      <w:bookmarkEnd w:id="30"/>
      <w:r>
        <w:t xml:space="preserve">: Georgia Power's </w:t>
      </w:r>
      <w:r w:rsidR="00CF1B3E">
        <w:t xml:space="preserve">Projected </w:t>
      </w:r>
      <w:r>
        <w:t xml:space="preserve">Summer 2019 and </w:t>
      </w:r>
      <w:r w:rsidR="00CA7073">
        <w:t xml:space="preserve">Summer </w:t>
      </w:r>
      <w:r>
        <w:t>202</w:t>
      </w:r>
      <w:r w:rsidR="004B504C">
        <w:t>4</w:t>
      </w:r>
      <w:r>
        <w:t xml:space="preserve"> Capacity Mixes</w:t>
      </w:r>
      <w:bookmarkEnd w:id="29"/>
      <w:r w:rsidR="00F3145E">
        <w:br w:type="page"/>
      </w:r>
    </w:p>
    <w:p w14:paraId="44C01E81" w14:textId="3DE38C17" w:rsidR="004F7248" w:rsidRDefault="00D45E3A" w:rsidP="00593BD0">
      <w:pPr>
        <w:pStyle w:val="Heading1"/>
      </w:pPr>
      <w:bookmarkStart w:id="31" w:name="_Toc536209121"/>
      <w:r>
        <w:t xml:space="preserve">EXECUTION OF </w:t>
      </w:r>
      <w:r w:rsidR="004F7248">
        <w:t>THE 2016 IRP</w:t>
      </w:r>
      <w:r w:rsidR="00196094">
        <w:t xml:space="preserve"> </w:t>
      </w:r>
      <w:r>
        <w:t>ORDER</w:t>
      </w:r>
      <w:bookmarkEnd w:id="31"/>
    </w:p>
    <w:p w14:paraId="572D9237" w14:textId="3901C1B3" w:rsidR="0023534B" w:rsidRPr="005808DD" w:rsidRDefault="0023534B" w:rsidP="0023534B">
      <w:bookmarkStart w:id="32" w:name="_Toc529962745"/>
      <w:bookmarkStart w:id="33" w:name="_Toc529962746"/>
      <w:bookmarkStart w:id="34" w:name="_Hlk520129083"/>
      <w:bookmarkEnd w:id="32"/>
      <w:bookmarkEnd w:id="33"/>
      <w:r w:rsidRPr="005808DD">
        <w:t xml:space="preserve">The </w:t>
      </w:r>
      <w:r>
        <w:t xml:space="preserve">Company’s 2016 </w:t>
      </w:r>
      <w:r w:rsidRPr="005808DD">
        <w:t xml:space="preserve">IRP </w:t>
      </w:r>
      <w:r>
        <w:t xml:space="preserve">was approved </w:t>
      </w:r>
      <w:r w:rsidRPr="005808DD">
        <w:t xml:space="preserve">with modifications as specified in </w:t>
      </w:r>
      <w:r w:rsidR="002A75B4">
        <w:t xml:space="preserve">the Commission’s </w:t>
      </w:r>
      <w:r>
        <w:t>final</w:t>
      </w:r>
      <w:r w:rsidRPr="005808DD">
        <w:t xml:space="preserve"> order dated </w:t>
      </w:r>
      <w:r>
        <w:t>August 2, 2016</w:t>
      </w:r>
      <w:r w:rsidRPr="005808DD">
        <w:t xml:space="preserve"> (the “</w:t>
      </w:r>
      <w:r>
        <w:t>2016</w:t>
      </w:r>
      <w:r w:rsidRPr="005808DD">
        <w:t xml:space="preserve"> IRP Order”).</w:t>
      </w:r>
      <w:r>
        <w:t xml:space="preserve"> The </w:t>
      </w:r>
      <w:r w:rsidR="003A065B">
        <w:t xml:space="preserve">approved </w:t>
      </w:r>
      <w:r>
        <w:t>2016 IRP demonstrate</w:t>
      </w:r>
      <w:r w:rsidR="0053241E">
        <w:t>d</w:t>
      </w:r>
      <w:r>
        <w:t xml:space="preserve"> “the economic, environmental, and other benefits to the state and to customers of the utility associated with” improvements in energy efficiency, alternative sources of energy, cogeneration a</w:t>
      </w:r>
      <w:r w:rsidR="00B235E4">
        <w:t>nd hydro facilities, and demand-</w:t>
      </w:r>
      <w:r>
        <w:t>side options all as required by O.C.G.A. §</w:t>
      </w:r>
      <w:r w:rsidR="00D802FD">
        <w:t> </w:t>
      </w:r>
      <w:r>
        <w:t>46-3A-2(b)(3) and th</w:t>
      </w:r>
      <w:r w:rsidR="00D802FD">
        <w:t>e</w:t>
      </w:r>
      <w:r>
        <w:t xml:space="preserve"> Commission’s rules.</w:t>
      </w:r>
    </w:p>
    <w:p w14:paraId="741B91C1" w14:textId="5FA9932F" w:rsidR="00A21CDE" w:rsidRPr="005808DD" w:rsidRDefault="0023534B" w:rsidP="0023534B">
      <w:r>
        <w:t>Consistent with the 2016 IRP as approved,</w:t>
      </w:r>
      <w:r w:rsidRPr="005808DD">
        <w:t xml:space="preserve"> </w:t>
      </w:r>
      <w:r>
        <w:t xml:space="preserve">the </w:t>
      </w:r>
      <w:r w:rsidRPr="005808DD">
        <w:t>Company took the following major actions:</w:t>
      </w:r>
    </w:p>
    <w:bookmarkEnd w:id="34"/>
    <w:p w14:paraId="60B38529" w14:textId="2BD5CD17" w:rsidR="00A21CDE" w:rsidRDefault="00A21CDE" w:rsidP="002A75B4">
      <w:pPr>
        <w:pStyle w:val="NoSpacing"/>
        <w:numPr>
          <w:ilvl w:val="0"/>
          <w:numId w:val="3"/>
        </w:numPr>
        <w:contextualSpacing w:val="0"/>
        <w:jc w:val="both"/>
      </w:pPr>
      <w:r>
        <w:t>Retired Plant Mitchell Units 3, 4A, and 4B; retired Plant Kraft Unit 1 CT; and completed the sale of the</w:t>
      </w:r>
      <w:r w:rsidR="00225DA4">
        <w:t xml:space="preserve"> Company’s ownership in the</w:t>
      </w:r>
      <w:r>
        <w:t xml:space="preserve"> Intercession City CT to Duke Energy Florida</w:t>
      </w:r>
      <w:r w:rsidRPr="000B4E75">
        <w:t>;</w:t>
      </w:r>
      <w:bookmarkStart w:id="35" w:name="_Hlk521320192"/>
    </w:p>
    <w:p w14:paraId="62084D09" w14:textId="15E1DC5D" w:rsidR="00A21CDE" w:rsidRDefault="00A21CDE" w:rsidP="002A75B4">
      <w:pPr>
        <w:pStyle w:val="NoSpacing"/>
        <w:numPr>
          <w:ilvl w:val="0"/>
          <w:numId w:val="3"/>
        </w:numPr>
        <w:contextualSpacing w:val="0"/>
        <w:jc w:val="both"/>
      </w:pPr>
      <w:r>
        <w:t xml:space="preserve">Commenced site investigation </w:t>
      </w:r>
      <w:r w:rsidRPr="00EA75AA">
        <w:t>and combined license</w:t>
      </w:r>
      <w:r>
        <w:t xml:space="preserve"> (“COL”) work at a site in Stewart County, Georgia, to preserve the option for new nuclear generation, and then subsequently suspended investigation and COL work in March 2017 when more current expansion plans indicated that suspending activities was unlikely to delay the ability to deploy new nuclear when needed by customers (see </w:t>
      </w:r>
      <w:r w:rsidR="00EB2561">
        <w:fldChar w:fldCharType="begin"/>
      </w:r>
      <w:r w:rsidR="00EB2561">
        <w:instrText xml:space="preserve"> REF _Ref533152577 \n \h </w:instrText>
      </w:r>
      <w:r w:rsidR="002A75B4">
        <w:instrText xml:space="preserve"> \* MERGEFORMAT </w:instrText>
      </w:r>
      <w:r w:rsidR="00EB2561">
        <w:fldChar w:fldCharType="separate"/>
      </w:r>
      <w:r w:rsidR="00F33DA2">
        <w:t>ATTACHMENT G</w:t>
      </w:r>
      <w:r w:rsidR="00EB2561">
        <w:fldChar w:fldCharType="end"/>
      </w:r>
      <w:r w:rsidR="00EB2561">
        <w:t xml:space="preserve"> </w:t>
      </w:r>
      <w:r>
        <w:t>for additional information);</w:t>
      </w:r>
      <w:bookmarkEnd w:id="35"/>
    </w:p>
    <w:p w14:paraId="7380359F" w14:textId="0E24900C" w:rsidR="00A21CDE" w:rsidRDefault="00A21CDE" w:rsidP="002A75B4">
      <w:pPr>
        <w:pStyle w:val="NoSpacing"/>
        <w:numPr>
          <w:ilvl w:val="0"/>
          <w:numId w:val="3"/>
        </w:numPr>
        <w:contextualSpacing w:val="0"/>
        <w:jc w:val="both"/>
      </w:pPr>
      <w:r>
        <w:t>Raised the System Target Reserve Margin to 16.25% and notified the</w:t>
      </w:r>
      <w:r w:rsidR="001F7690">
        <w:t xml:space="preserve"> Commission on November 4, 2016</w:t>
      </w:r>
      <w:r>
        <w:t xml:space="preserve"> that all of the Retail OpCos had formally approved utilization of a 16.25% long-term Target Reserve Margin;</w:t>
      </w:r>
    </w:p>
    <w:p w14:paraId="22078155" w14:textId="515E3160" w:rsidR="00BD3900" w:rsidRDefault="00BD3900" w:rsidP="002A75B4">
      <w:pPr>
        <w:pStyle w:val="NoSpacing"/>
        <w:numPr>
          <w:ilvl w:val="0"/>
          <w:numId w:val="3"/>
        </w:numPr>
        <w:contextualSpacing w:val="0"/>
        <w:jc w:val="both"/>
      </w:pPr>
      <w:r>
        <w:t xml:space="preserve">Commenced execution of the necessary and approved environmental strategy to comply with </w:t>
      </w:r>
      <w:r w:rsidRPr="005E7BD8">
        <w:t>government-imposed environmental mandates</w:t>
      </w:r>
      <w:r>
        <w:t xml:space="preserve"> including completion </w:t>
      </w:r>
      <w:r w:rsidR="00156E89">
        <w:t xml:space="preserve">of </w:t>
      </w:r>
      <w:r>
        <w:t xml:space="preserve">air-related controls for MATS compliance and initiation of construction and installation of equipment necessary for dry ash conversions, wastewater treatment, and preparation for ash pond closures at the Company’s coal-fired plants in order to comply with </w:t>
      </w:r>
      <w:r w:rsidR="002A75B4">
        <w:t>f</w:t>
      </w:r>
      <w:r>
        <w:t xml:space="preserve">ederal and </w:t>
      </w:r>
      <w:r w:rsidR="002A75B4">
        <w:t>s</w:t>
      </w:r>
      <w:r>
        <w:t>tate rules and permits including the Clean Water Act and the Resource Conservation and Recovery Act</w:t>
      </w:r>
      <w:r w:rsidR="001F7690">
        <w:t>;</w:t>
      </w:r>
    </w:p>
    <w:p w14:paraId="4FDA630C" w14:textId="5D9493ED" w:rsidR="00A21CDE" w:rsidRDefault="00475DF2" w:rsidP="002A75B4">
      <w:pPr>
        <w:pStyle w:val="NoSpacing"/>
        <w:numPr>
          <w:ilvl w:val="0"/>
          <w:numId w:val="3"/>
        </w:numPr>
        <w:contextualSpacing w:val="0"/>
        <w:jc w:val="both"/>
      </w:pPr>
      <w:r>
        <w:t>P</w:t>
      </w:r>
      <w:r w:rsidR="00A21CDE">
        <w:t>laced annual limits on all capital expenditures of $1 million for Plant McIntosh Unit 1 and $5 million for Plant Hammond Units 1-4</w:t>
      </w:r>
      <w:r>
        <w:t xml:space="preserve"> effective as of the date of the 2016 IRP Order</w:t>
      </w:r>
      <w:r w:rsidR="00A21CDE">
        <w:t>;</w:t>
      </w:r>
    </w:p>
    <w:p w14:paraId="7884A4FC" w14:textId="13F77DEB" w:rsidR="00C857AA" w:rsidRDefault="002D0332" w:rsidP="002A75B4">
      <w:pPr>
        <w:pStyle w:val="NoSpacing"/>
        <w:numPr>
          <w:ilvl w:val="0"/>
          <w:numId w:val="3"/>
        </w:numPr>
        <w:contextualSpacing w:val="0"/>
        <w:jc w:val="both"/>
      </w:pPr>
      <w:r>
        <w:t xml:space="preserve">Collaborated with Commission Staff to develop a Joint Recommendation for the continued implementation of the RCB Framework, which was approved by the Commission on December 22, 2016, with subsequent Commission approval in June of 2017 to apply the RCB Framework to Behind-the-Meter solar technologies, including, but not limited to, use in </w:t>
      </w:r>
      <w:r w:rsidR="002A75B4">
        <w:t xml:space="preserve">determining </w:t>
      </w:r>
      <w:r>
        <w:t>the Renewable and Nonrenewable Resources (“RNR”</w:t>
      </w:r>
      <w:r w:rsidR="00C857AA">
        <w:t>) Schedule</w:t>
      </w:r>
      <w:r w:rsidR="0023534B">
        <w:t>;</w:t>
      </w:r>
    </w:p>
    <w:p w14:paraId="06EE5E7C" w14:textId="7C0DF227" w:rsidR="002D0332" w:rsidRDefault="00C857AA" w:rsidP="002A75B4">
      <w:pPr>
        <w:pStyle w:val="NoSpacing"/>
        <w:numPr>
          <w:ilvl w:val="0"/>
          <w:numId w:val="3"/>
        </w:numPr>
        <w:contextualSpacing w:val="0"/>
        <w:jc w:val="both"/>
      </w:pPr>
      <w:r>
        <w:t>A</w:t>
      </w:r>
      <w:r w:rsidR="002D0332" w:rsidRPr="002B4509">
        <w:t xml:space="preserve">pplied the RCB Framework in the evaluation </w:t>
      </w:r>
      <w:r w:rsidR="002D0332">
        <w:t xml:space="preserve">of renewable self-builds, renewable RFPs, and </w:t>
      </w:r>
      <w:r w:rsidR="0023534B">
        <w:t>Solar Avoided Costs projections;</w:t>
      </w:r>
    </w:p>
    <w:p w14:paraId="2B0D461E" w14:textId="77777777" w:rsidR="002D0332" w:rsidRDefault="002D0332" w:rsidP="002A75B4">
      <w:pPr>
        <w:pStyle w:val="NoSpacing"/>
        <w:numPr>
          <w:ilvl w:val="0"/>
          <w:numId w:val="3"/>
        </w:numPr>
        <w:contextualSpacing w:val="0"/>
        <w:jc w:val="both"/>
      </w:pPr>
      <w:r>
        <w:t>C</w:t>
      </w:r>
      <w:r w:rsidRPr="00226615">
        <w:t xml:space="preserve">ompleted </w:t>
      </w:r>
      <w:r>
        <w:t>the first</w:t>
      </w:r>
      <w:r w:rsidRPr="00226615">
        <w:t xml:space="preserve"> </w:t>
      </w:r>
      <w:r>
        <w:t>REDI</w:t>
      </w:r>
      <w:r w:rsidRPr="00226615">
        <w:t xml:space="preserve"> </w:t>
      </w:r>
      <w:r>
        <w:t>RFP for 525 MW</w:t>
      </w:r>
      <w:r w:rsidRPr="00226615">
        <w:t xml:space="preserve"> </w:t>
      </w:r>
      <w:r>
        <w:t>and procured</w:t>
      </w:r>
      <w:r w:rsidRPr="00226615">
        <w:t xml:space="preserve"> </w:t>
      </w:r>
      <w:r>
        <w:t>510</w:t>
      </w:r>
      <w:r w:rsidRPr="00226615">
        <w:t xml:space="preserve"> MW of </w:t>
      </w:r>
      <w:r>
        <w:t>utility-scale</w:t>
      </w:r>
      <w:r w:rsidRPr="00226615">
        <w:t xml:space="preserve"> solar resources,</w:t>
      </w:r>
      <w:r>
        <w:t xml:space="preserve"> with the resulting </w:t>
      </w:r>
      <w:r w:rsidRPr="00226615">
        <w:t xml:space="preserve">PPAs certified by the Commission in </w:t>
      </w:r>
      <w:r>
        <w:t>January 2018;</w:t>
      </w:r>
    </w:p>
    <w:p w14:paraId="3747C0E5" w14:textId="2E7C05A7" w:rsidR="002D0332" w:rsidRDefault="002D0332" w:rsidP="002A75B4">
      <w:pPr>
        <w:pStyle w:val="NoSpacing"/>
        <w:numPr>
          <w:ilvl w:val="0"/>
          <w:numId w:val="3"/>
        </w:numPr>
        <w:contextualSpacing w:val="0"/>
        <w:jc w:val="both"/>
      </w:pPr>
      <w:r>
        <w:t xml:space="preserve">Issued the second utility-scale REDI RFP in December 2018 </w:t>
      </w:r>
      <w:r w:rsidR="002A75B4">
        <w:t xml:space="preserve">to procure </w:t>
      </w:r>
      <w:r>
        <w:t>the remaining 540</w:t>
      </w:r>
      <w:r w:rsidR="000A216E">
        <w:t> </w:t>
      </w:r>
      <w:r>
        <w:t>MW of utility-scale solar resources;</w:t>
      </w:r>
    </w:p>
    <w:p w14:paraId="50D07D51" w14:textId="3E159235" w:rsidR="002D0332" w:rsidRDefault="002D0332" w:rsidP="002A75B4">
      <w:pPr>
        <w:pStyle w:val="NoSpacing"/>
        <w:numPr>
          <w:ilvl w:val="0"/>
          <w:numId w:val="3"/>
        </w:numPr>
        <w:contextualSpacing w:val="0"/>
        <w:jc w:val="both"/>
      </w:pPr>
      <w:r>
        <w:t>Designed and implemented the C&amp;I REDI Program including the procurement of 177.5</w:t>
      </w:r>
      <w:r w:rsidR="00B1722B">
        <w:t> </w:t>
      </w:r>
      <w:r>
        <w:t>MW of utility-scale solar resources to supply the four contracted C&amp;I customers, with the resulting PPAs certified by the Commission in April 2018;</w:t>
      </w:r>
    </w:p>
    <w:p w14:paraId="56BFDC6B" w14:textId="62600D12" w:rsidR="002D0332" w:rsidRDefault="002D0332" w:rsidP="002A75B4">
      <w:pPr>
        <w:pStyle w:val="NoSpacing"/>
        <w:numPr>
          <w:ilvl w:val="0"/>
          <w:numId w:val="3"/>
        </w:numPr>
        <w:contextualSpacing w:val="0"/>
        <w:jc w:val="both"/>
      </w:pPr>
      <w:bookmarkStart w:id="36" w:name="_Hlk535340674"/>
      <w:r>
        <w:t xml:space="preserve">Issued the REDI Customer-Sited DG Program in November 2017 </w:t>
      </w:r>
      <w:r w:rsidR="002A75B4">
        <w:t xml:space="preserve">to procure </w:t>
      </w:r>
      <w:r>
        <w:t>approximately 47.9 MW of distributed solar resources;</w:t>
      </w:r>
    </w:p>
    <w:bookmarkEnd w:id="36"/>
    <w:p w14:paraId="1977DCCD" w14:textId="7B0FEB90" w:rsidR="002D0332" w:rsidRDefault="002D0332" w:rsidP="002A75B4">
      <w:pPr>
        <w:pStyle w:val="NoSpacing"/>
        <w:numPr>
          <w:ilvl w:val="0"/>
          <w:numId w:val="3"/>
        </w:numPr>
        <w:contextualSpacing w:val="0"/>
        <w:jc w:val="both"/>
      </w:pPr>
      <w:r>
        <w:t>I</w:t>
      </w:r>
      <w:r w:rsidRPr="00226615">
        <w:t xml:space="preserve">ssued </w:t>
      </w:r>
      <w:r>
        <w:t>the REDI DG</w:t>
      </w:r>
      <w:r w:rsidRPr="00226615">
        <w:t xml:space="preserve"> RFP in </w:t>
      </w:r>
      <w:r>
        <w:t>July 2018</w:t>
      </w:r>
      <w:r w:rsidRPr="00226615">
        <w:t xml:space="preserve"> </w:t>
      </w:r>
      <w:r w:rsidR="002A75B4">
        <w:t xml:space="preserve">to procure </w:t>
      </w:r>
      <w:r>
        <w:t xml:space="preserve">approximately </w:t>
      </w:r>
      <w:bookmarkStart w:id="37" w:name="_Hlk532645318"/>
      <w:r>
        <w:t>113</w:t>
      </w:r>
      <w:bookmarkEnd w:id="37"/>
      <w:r>
        <w:t>.7 MW</w:t>
      </w:r>
      <w:r w:rsidRPr="00226615">
        <w:t xml:space="preserve"> of distributed solar resources</w:t>
      </w:r>
      <w:r>
        <w:t xml:space="preserve"> (including approximately 13.7 MW of roll-over capacity from prior programs);</w:t>
      </w:r>
    </w:p>
    <w:p w14:paraId="4BD96EB1" w14:textId="3220D070" w:rsidR="002D0332" w:rsidRDefault="002D0332" w:rsidP="002A75B4">
      <w:pPr>
        <w:pStyle w:val="NoSpacing"/>
        <w:numPr>
          <w:ilvl w:val="0"/>
          <w:numId w:val="3"/>
        </w:numPr>
        <w:contextualSpacing w:val="0"/>
        <w:jc w:val="both"/>
      </w:pPr>
      <w:bookmarkStart w:id="38" w:name="_Hlk521319576"/>
      <w:r>
        <w:t xml:space="preserve">Received approval and began </w:t>
      </w:r>
      <w:r w:rsidR="002A75B4">
        <w:t xml:space="preserve">developing </w:t>
      </w:r>
      <w:r>
        <w:t>nine self-build projects totaling approximately 200 MW, including projects at military bases and universities, projects to supply the Community Solar program, and the Right-of-Way Solar project with “The Ray”;</w:t>
      </w:r>
    </w:p>
    <w:bookmarkEnd w:id="38"/>
    <w:p w14:paraId="7C3226F4" w14:textId="2FE921D2" w:rsidR="002D0332" w:rsidRDefault="002D0332" w:rsidP="002A75B4">
      <w:pPr>
        <w:pStyle w:val="NoSpacing"/>
        <w:numPr>
          <w:ilvl w:val="0"/>
          <w:numId w:val="3"/>
        </w:numPr>
        <w:contextualSpacing w:val="0"/>
        <w:jc w:val="both"/>
      </w:pPr>
      <w:r>
        <w:t>Commenced development of up to 10 MW of solar demonstration projects that will be located at closed ash ponds at Plant McDonough and Plant Hammond, with preliminary plans included as part of the ash pond closure permits, which are currently under review;</w:t>
      </w:r>
    </w:p>
    <w:p w14:paraId="46E0D27A" w14:textId="065F3B3A" w:rsidR="00241CF9" w:rsidRDefault="00241CF9" w:rsidP="002A75B4">
      <w:pPr>
        <w:pStyle w:val="NoSpacing"/>
        <w:numPr>
          <w:ilvl w:val="0"/>
          <w:numId w:val="3"/>
        </w:numPr>
        <w:contextualSpacing w:val="0"/>
        <w:jc w:val="both"/>
      </w:pPr>
      <w:r>
        <w:t>D</w:t>
      </w:r>
      <w:r w:rsidR="003B058A">
        <w:t xml:space="preserve">eployed the </w:t>
      </w:r>
      <w:r w:rsidR="007606CD" w:rsidRPr="00456437">
        <w:t xml:space="preserve">High Wind </w:t>
      </w:r>
      <w:r w:rsidR="00255BBB">
        <w:t>d</w:t>
      </w:r>
      <w:r w:rsidR="007606CD" w:rsidRPr="00456437">
        <w:t xml:space="preserve">emonstration project </w:t>
      </w:r>
      <w:r>
        <w:t>by purchasing, siting, and installing wind measurement instrumentation</w:t>
      </w:r>
      <w:r w:rsidR="003B058A">
        <w:t xml:space="preserve"> (</w:t>
      </w:r>
      <w:r w:rsidR="00124BCB">
        <w:t>Light Detection and Ranging, or “</w:t>
      </w:r>
      <w:r w:rsidR="003B058A">
        <w:t>LiDAR</w:t>
      </w:r>
      <w:r w:rsidR="00124BCB">
        <w:t>”</w:t>
      </w:r>
      <w:r w:rsidR="003B058A">
        <w:t>)</w:t>
      </w:r>
      <w:r>
        <w:t xml:space="preserve"> to monitor high elevation wind data for two years at multiple locations;</w:t>
      </w:r>
    </w:p>
    <w:p w14:paraId="4165598A" w14:textId="77777777" w:rsidR="00A21CDE" w:rsidRDefault="00A21CDE" w:rsidP="002A75B4">
      <w:pPr>
        <w:pStyle w:val="NoSpacing"/>
        <w:numPr>
          <w:ilvl w:val="0"/>
          <w:numId w:val="3"/>
        </w:numPr>
        <w:contextualSpacing w:val="0"/>
        <w:jc w:val="both"/>
      </w:pPr>
      <w:r>
        <w:t>Designed and implemented the Simple Solar program to replace the Company’s previous Green Energy program, which opened for both residential and commercial customer participation in January 2017;</w:t>
      </w:r>
    </w:p>
    <w:p w14:paraId="6828D2C8" w14:textId="77777777" w:rsidR="00A21CDE" w:rsidRDefault="00A21CDE" w:rsidP="002A75B4">
      <w:pPr>
        <w:pStyle w:val="NoSpacing"/>
        <w:numPr>
          <w:ilvl w:val="0"/>
          <w:numId w:val="3"/>
        </w:numPr>
        <w:contextualSpacing w:val="0"/>
        <w:jc w:val="both"/>
      </w:pPr>
      <w:r>
        <w:t>Designed and implemented the Community Solar program, which opened for residential customer participation in January 2018;</w:t>
      </w:r>
    </w:p>
    <w:p w14:paraId="6E6CA03F" w14:textId="77777777" w:rsidR="00A21CDE" w:rsidRDefault="00A21CDE" w:rsidP="002A75B4">
      <w:pPr>
        <w:pStyle w:val="NoSpacing"/>
        <w:numPr>
          <w:ilvl w:val="0"/>
          <w:numId w:val="3"/>
        </w:numPr>
        <w:contextualSpacing w:val="0"/>
        <w:jc w:val="both"/>
      </w:pPr>
      <w:bookmarkStart w:id="39" w:name="_Hlk532395605"/>
      <w:r>
        <w:t>Reported to the Commission concerning progress on the dismantlement and remediation of the Plant Kraft generating plant site and provided the Commission with appraisal information pertaining to the Plant Kraft land donation to the Georgia Ports Authority;</w:t>
      </w:r>
    </w:p>
    <w:bookmarkEnd w:id="39"/>
    <w:p w14:paraId="584C78E3" w14:textId="02B247D8" w:rsidR="00A21CDE" w:rsidRDefault="00A21CDE" w:rsidP="002A75B4">
      <w:pPr>
        <w:pStyle w:val="NoSpacing"/>
        <w:numPr>
          <w:ilvl w:val="0"/>
          <w:numId w:val="3"/>
        </w:numPr>
        <w:contextualSpacing w:val="0"/>
        <w:jc w:val="both"/>
      </w:pPr>
      <w:r>
        <w:t xml:space="preserve">Collaborated with Commission Staff to address retirement study and other modeling </w:t>
      </w:r>
      <w:bookmarkStart w:id="40" w:name="_Hlk520129071"/>
      <w:r w:rsidR="00813637">
        <w:t>approaches</w:t>
      </w:r>
      <w:r w:rsidR="00241CF9">
        <w:t>;</w:t>
      </w:r>
    </w:p>
    <w:p w14:paraId="08C68658" w14:textId="54D86881" w:rsidR="00A21CDE" w:rsidRDefault="00A21CDE" w:rsidP="002A75B4">
      <w:pPr>
        <w:pStyle w:val="NoSpacing"/>
        <w:numPr>
          <w:ilvl w:val="0"/>
          <w:numId w:val="3"/>
        </w:numPr>
        <w:contextualSpacing w:val="0"/>
        <w:jc w:val="both"/>
      </w:pPr>
      <w:r>
        <w:t xml:space="preserve">Completed and provided to </w:t>
      </w:r>
      <w:r w:rsidR="00A44826">
        <w:t>Commission</w:t>
      </w:r>
      <w:r>
        <w:t xml:space="preserve"> Staff a Technical Reference Manual in December 2017 for use with the Company’s DSM programs</w:t>
      </w:r>
      <w:r w:rsidRPr="000B4E75">
        <w:t>;</w:t>
      </w:r>
    </w:p>
    <w:p w14:paraId="431C8455" w14:textId="77777777" w:rsidR="00A21CDE" w:rsidRDefault="00A21CDE" w:rsidP="002A75B4">
      <w:pPr>
        <w:pStyle w:val="NoSpacing"/>
        <w:numPr>
          <w:ilvl w:val="0"/>
          <w:numId w:val="3"/>
        </w:numPr>
        <w:contextualSpacing w:val="0"/>
        <w:jc w:val="both"/>
      </w:pPr>
      <w:r w:rsidRPr="000B4E75">
        <w:t>Filed the Achievable Energy</w:t>
      </w:r>
      <w:r>
        <w:t xml:space="preserve"> Efficiency Potential</w:t>
      </w:r>
      <w:r w:rsidRPr="000B4E75">
        <w:t xml:space="preserve"> Assessment in January 201</w:t>
      </w:r>
      <w:r>
        <w:t>8</w:t>
      </w:r>
      <w:r w:rsidRPr="000B4E75">
        <w:t xml:space="preserve"> in </w:t>
      </w:r>
      <w:r>
        <w:t>accordance with the DSM Program Planning Approach;</w:t>
      </w:r>
    </w:p>
    <w:p w14:paraId="380D8AB8" w14:textId="77777777" w:rsidR="00A21CDE" w:rsidRDefault="00A21CDE" w:rsidP="002A75B4">
      <w:pPr>
        <w:pStyle w:val="NoSpacing"/>
        <w:numPr>
          <w:ilvl w:val="0"/>
          <w:numId w:val="3"/>
        </w:numPr>
        <w:contextualSpacing w:val="0"/>
        <w:jc w:val="both"/>
      </w:pPr>
      <w:r w:rsidRPr="000B4E75">
        <w:t xml:space="preserve">Filed complete Process and Impact Evaluation result reports in </w:t>
      </w:r>
      <w:r>
        <w:t>August 2018</w:t>
      </w:r>
      <w:r w:rsidRPr="000B4E75">
        <w:t xml:space="preserve"> for the energy efficiency programs certified in the 201</w:t>
      </w:r>
      <w:r>
        <w:t>6</w:t>
      </w:r>
      <w:r w:rsidRPr="000B4E75">
        <w:t xml:space="preserve"> DSM certification proceeding; and</w:t>
      </w:r>
    </w:p>
    <w:p w14:paraId="7A8F8683" w14:textId="77777777" w:rsidR="00A21CDE" w:rsidRDefault="00A21CDE" w:rsidP="002A75B4">
      <w:pPr>
        <w:pStyle w:val="NoSpacing"/>
        <w:numPr>
          <w:ilvl w:val="0"/>
          <w:numId w:val="3"/>
        </w:numPr>
        <w:contextualSpacing w:val="0"/>
        <w:jc w:val="both"/>
      </w:pPr>
      <w:r w:rsidRPr="000B4E75">
        <w:t xml:space="preserve">Complied with the </w:t>
      </w:r>
      <w:r w:rsidRPr="00E43BD3">
        <w:t>DSM Program Planning Approach</w:t>
      </w:r>
      <w:r w:rsidRPr="000B4E75" w:rsidDel="0073232B">
        <w:t xml:space="preserve"> </w:t>
      </w:r>
      <w:r>
        <w:t xml:space="preserve">to </w:t>
      </w:r>
      <w:r w:rsidRPr="000B4E75">
        <w:t>develop the Company’s 201</w:t>
      </w:r>
      <w:r>
        <w:t>9 IRP DSM plan.</w:t>
      </w:r>
    </w:p>
    <w:p w14:paraId="3C7B8863" w14:textId="544620D1" w:rsidR="00B70D08" w:rsidRDefault="00B70D08" w:rsidP="00593BD0">
      <w:pPr>
        <w:pStyle w:val="Heading1"/>
      </w:pPr>
      <w:bookmarkStart w:id="41" w:name="_Ref532935445"/>
      <w:bookmarkStart w:id="42" w:name="_Toc536209122"/>
      <w:bookmarkEnd w:id="40"/>
      <w:r>
        <w:t>INTEGRATED RESOURCE PLANNING OVERVIEW</w:t>
      </w:r>
      <w:bookmarkEnd w:id="41"/>
      <w:bookmarkEnd w:id="42"/>
    </w:p>
    <w:p w14:paraId="2F88F42B" w14:textId="45ED9B32" w:rsidR="00314142" w:rsidRDefault="00314142" w:rsidP="006549EE">
      <w:bookmarkStart w:id="43" w:name="_Hlk527039877"/>
      <w:r w:rsidRPr="00EB5651">
        <w:t xml:space="preserve">The development of </w:t>
      </w:r>
      <w:r w:rsidR="005269F3" w:rsidRPr="00EB5651">
        <w:t>Georgia Power</w:t>
      </w:r>
      <w:r w:rsidR="005269F3">
        <w:t>’s</w:t>
      </w:r>
      <w:r w:rsidR="005269F3" w:rsidRPr="00EB5651">
        <w:t xml:space="preserve"> </w:t>
      </w:r>
      <w:r w:rsidR="00F92F70">
        <w:t xml:space="preserve">triennial formal and filed </w:t>
      </w:r>
      <w:r w:rsidRPr="00EB5651">
        <w:t>IRP is part of a continuous planning process</w:t>
      </w:r>
      <w:r w:rsidR="00331D2E">
        <w:t xml:space="preserve"> involving</w:t>
      </w:r>
      <w:r w:rsidRPr="00EB5651">
        <w:t xml:space="preserve"> </w:t>
      </w:r>
      <w:r w:rsidR="00331D2E">
        <w:t>m</w:t>
      </w:r>
      <w:r w:rsidRPr="00EB5651">
        <w:t xml:space="preserve">any </w:t>
      </w:r>
      <w:r w:rsidR="005269F3">
        <w:t>diverse</w:t>
      </w:r>
      <w:r w:rsidR="005269F3" w:rsidRPr="00EB5651">
        <w:t xml:space="preserve"> </w:t>
      </w:r>
      <w:r w:rsidRPr="00EB5651">
        <w:t xml:space="preserve">disciplines and areas of expertise from Georgia Power and Southern Company Services (“SCS”). This process provides for an orderly and reasoned framework through which both </w:t>
      </w:r>
      <w:r w:rsidR="00473910" w:rsidRPr="009D49A5">
        <w:rPr>
          <w:rFonts w:eastAsia="Times New Roman"/>
        </w:rPr>
        <w:t xml:space="preserve">demand- and supply-side </w:t>
      </w:r>
      <w:r w:rsidRPr="00EB5651">
        <w:t>resources are compared on an equitable basis to develop a plan that provides for reliable and economic</w:t>
      </w:r>
      <w:r w:rsidR="00515016">
        <w:t>al</w:t>
      </w:r>
      <w:r w:rsidRPr="00EB5651">
        <w:t xml:space="preserve"> electric energy to serve customers’ n</w:t>
      </w:r>
      <w:r w:rsidR="004C1F3C">
        <w:t xml:space="preserve">eeds over the planning </w:t>
      </w:r>
      <w:r w:rsidR="004F5DE2">
        <w:t>horizon.</w:t>
      </w:r>
    </w:p>
    <w:p w14:paraId="413E2207" w14:textId="76281E9F" w:rsidR="00A01D0A" w:rsidRPr="00FE2F71" w:rsidRDefault="00801242" w:rsidP="00A7180F">
      <w:pPr>
        <w:pStyle w:val="Heading2"/>
      </w:pPr>
      <w:bookmarkStart w:id="44" w:name="_Toc536209123"/>
      <w:bookmarkEnd w:id="43"/>
      <w:r w:rsidRPr="00FE2F71">
        <w:t>Outline of the Process</w:t>
      </w:r>
      <w:bookmarkEnd w:id="44"/>
    </w:p>
    <w:p w14:paraId="0E4C0520" w14:textId="5BA1E33C" w:rsidR="004D44B1" w:rsidRDefault="004D44B1" w:rsidP="006549EE">
      <w:r>
        <w:t>When developing the IRP, the Company begins by establishing reliability criteria</w:t>
      </w:r>
      <w:r w:rsidR="00700A00">
        <w:t>,</w:t>
      </w:r>
      <w:r>
        <w:t xml:space="preserve"> which </w:t>
      </w:r>
      <w:r w:rsidR="00FB7207">
        <w:t>are</w:t>
      </w:r>
      <w:r>
        <w:t xml:space="preserve"> thoroughly reviewed in the Reserve Margin Study in Technical Appendix Volume 1. The Company then </w:t>
      </w:r>
      <w:r w:rsidR="00E437F2">
        <w:t xml:space="preserve">applies </w:t>
      </w:r>
      <w:r w:rsidR="00FB7207">
        <w:t>these</w:t>
      </w:r>
      <w:r>
        <w:t xml:space="preserve"> criteria </w:t>
      </w:r>
      <w:r w:rsidR="00E437F2">
        <w:t xml:space="preserve">to </w:t>
      </w:r>
      <w:r>
        <w:t>the demand and energy forecast</w:t>
      </w:r>
      <w:r w:rsidR="006D74D2">
        <w:t>s</w:t>
      </w:r>
      <w:r>
        <w:t xml:space="preserve"> to determine the </w:t>
      </w:r>
      <w:r w:rsidR="00E437F2">
        <w:t xml:space="preserve">amount of </w:t>
      </w:r>
      <w:r>
        <w:t xml:space="preserve">capacity that </w:t>
      </w:r>
      <w:r w:rsidR="008B38BB">
        <w:t>is</w:t>
      </w:r>
      <w:r>
        <w:t xml:space="preserve"> required to reliably meet forecasted conditions. </w:t>
      </w:r>
      <w:r w:rsidR="000A5D90">
        <w:t xml:space="preserve">These factors, combined with projected fuel costs, emissions costs, demand-side programs, and the other inputs reviewed in this IRP, are </w:t>
      </w:r>
      <w:r>
        <w:t xml:space="preserve">then used to determine </w:t>
      </w:r>
      <w:r w:rsidRPr="005E64A2">
        <w:t xml:space="preserve">the optimal least cost </w:t>
      </w:r>
      <w:r w:rsidR="00132DF2">
        <w:t xml:space="preserve">resource mix </w:t>
      </w:r>
      <w:r w:rsidR="00E437F2">
        <w:t>(</w:t>
      </w:r>
      <w:r w:rsidRPr="005E64A2">
        <w:t>expansion plan</w:t>
      </w:r>
      <w:r w:rsidR="00E437F2">
        <w:t>)</w:t>
      </w:r>
      <w:r w:rsidRPr="005E64A2">
        <w:t>.</w:t>
      </w:r>
    </w:p>
    <w:p w14:paraId="23FE4C75" w14:textId="40B1FA36" w:rsidR="00A01D0A" w:rsidRPr="009D49A5" w:rsidRDefault="0096026A" w:rsidP="006549EE">
      <w:pPr>
        <w:rPr>
          <w:rFonts w:eastAsia="Times New Roman"/>
        </w:rPr>
      </w:pPr>
      <w:r>
        <w:t>T</w:t>
      </w:r>
      <w:r w:rsidR="00F80C1B">
        <w:t>he Company evaluate</w:t>
      </w:r>
      <w:r w:rsidR="002A7400">
        <w:t>s</w:t>
      </w:r>
      <w:r w:rsidR="00F80C1B">
        <w:t xml:space="preserve"> both </w:t>
      </w:r>
      <w:r w:rsidR="00F80C1B" w:rsidRPr="009D49A5">
        <w:rPr>
          <w:rFonts w:eastAsia="Times New Roman"/>
        </w:rPr>
        <w:t xml:space="preserve">demand- and supply-side </w:t>
      </w:r>
      <w:r w:rsidR="004941C4">
        <w:t>options using</w:t>
      </w:r>
      <w:r w:rsidR="00F80C1B">
        <w:t xml:space="preserve"> </w:t>
      </w:r>
      <w:r w:rsidR="00C01A78">
        <w:t xml:space="preserve">a common </w:t>
      </w:r>
      <w:r w:rsidR="00F80C1B">
        <w:t>set of assumptions</w:t>
      </w:r>
      <w:r w:rsidR="00A8074D">
        <w:t>.</w:t>
      </w:r>
      <w:r w:rsidR="004D44B1">
        <w:t xml:space="preserve"> </w:t>
      </w:r>
      <w:r w:rsidR="001A72C7">
        <w:t xml:space="preserve">The decisions made as a result of these </w:t>
      </w:r>
      <w:r w:rsidR="00A8074D">
        <w:t>evaluations</w:t>
      </w:r>
      <w:r w:rsidR="00A51557">
        <w:t xml:space="preserve">, which are reviewed in </w:t>
      </w:r>
      <w:r w:rsidR="009206B9">
        <w:fldChar w:fldCharType="begin"/>
      </w:r>
      <w:r w:rsidR="009206B9">
        <w:instrText xml:space="preserve"> REF _Ref532998616 \r \h </w:instrText>
      </w:r>
      <w:r w:rsidR="009206B9">
        <w:fldChar w:fldCharType="separate"/>
      </w:r>
      <w:r w:rsidR="00F33DA2">
        <w:t>CHAPTER 7</w:t>
      </w:r>
      <w:r w:rsidR="009206B9">
        <w:fldChar w:fldCharType="end"/>
      </w:r>
      <w:r w:rsidR="00A51557">
        <w:t xml:space="preserve"> </w:t>
      </w:r>
      <w:r w:rsidR="00473910">
        <w:t xml:space="preserve">and </w:t>
      </w:r>
      <w:r w:rsidR="009206B9">
        <w:fldChar w:fldCharType="begin"/>
      </w:r>
      <w:r w:rsidR="009206B9">
        <w:instrText xml:space="preserve"> REF _Ref531354561 \r \h </w:instrText>
      </w:r>
      <w:r w:rsidR="009206B9">
        <w:fldChar w:fldCharType="separate"/>
      </w:r>
      <w:r w:rsidR="00F33DA2">
        <w:t>CHAPTER 10</w:t>
      </w:r>
      <w:r w:rsidR="009206B9">
        <w:fldChar w:fldCharType="end"/>
      </w:r>
      <w:r w:rsidR="00037626">
        <w:t xml:space="preserve"> </w:t>
      </w:r>
      <w:r w:rsidR="00473910">
        <w:t xml:space="preserve">of this IRP, </w:t>
      </w:r>
      <w:r w:rsidR="004D44B1">
        <w:t>are</w:t>
      </w:r>
      <w:r w:rsidR="001A72C7">
        <w:t xml:space="preserve"> </w:t>
      </w:r>
      <w:r w:rsidR="004D44B1">
        <w:t xml:space="preserve">integrated </w:t>
      </w:r>
      <w:r w:rsidR="003E033C">
        <w:t xml:space="preserve">in </w:t>
      </w:r>
      <w:r>
        <w:t>the expansion</w:t>
      </w:r>
      <w:r w:rsidR="003E033C">
        <w:t xml:space="preserve"> plan </w:t>
      </w:r>
      <w:r w:rsidR="004D44B1">
        <w:t xml:space="preserve">using the mix process. </w:t>
      </w:r>
      <w:bookmarkStart w:id="45" w:name="_Hlk527043137"/>
      <w:r w:rsidR="00A01D0A" w:rsidRPr="009D49A5">
        <w:rPr>
          <w:rFonts w:eastAsia="Times New Roman"/>
        </w:rPr>
        <w:t>The detailed process by which the IRP i</w:t>
      </w:r>
      <w:r w:rsidR="006A7A75">
        <w:rPr>
          <w:rFonts w:eastAsia="Times New Roman"/>
        </w:rPr>
        <w:t xml:space="preserve">s developed is shown in </w:t>
      </w:r>
      <w:r w:rsidR="006A7A75">
        <w:rPr>
          <w:rFonts w:eastAsia="Times New Roman"/>
        </w:rPr>
        <w:fldChar w:fldCharType="begin"/>
      </w:r>
      <w:r w:rsidR="006A7A75">
        <w:rPr>
          <w:rFonts w:eastAsia="Times New Roman"/>
        </w:rPr>
        <w:instrText xml:space="preserve"> REF _Ref531269512 \h </w:instrText>
      </w:r>
      <w:r w:rsidR="006A7A75">
        <w:rPr>
          <w:rFonts w:eastAsia="Times New Roman"/>
        </w:rPr>
      </w:r>
      <w:r w:rsidR="006A7A75">
        <w:rPr>
          <w:rFonts w:eastAsia="Times New Roman"/>
        </w:rPr>
        <w:fldChar w:fldCharType="separate"/>
      </w:r>
      <w:r w:rsidR="00F33DA2" w:rsidRPr="003868B8">
        <w:t xml:space="preserve">Figure </w:t>
      </w:r>
      <w:r w:rsidR="00F33DA2">
        <w:rPr>
          <w:noProof/>
        </w:rPr>
        <w:t>2</w:t>
      </w:r>
      <w:r w:rsidR="006A7A75">
        <w:rPr>
          <w:rFonts w:eastAsia="Times New Roman"/>
        </w:rPr>
        <w:fldChar w:fldCharType="end"/>
      </w:r>
      <w:r w:rsidR="00A01D0A" w:rsidRPr="009D49A5">
        <w:rPr>
          <w:rFonts w:eastAsia="Times New Roman"/>
        </w:rPr>
        <w:t>, and the components of th</w:t>
      </w:r>
      <w:r w:rsidR="004C1F3C">
        <w:rPr>
          <w:rFonts w:eastAsia="Times New Roman"/>
        </w:rPr>
        <w:t>is process are described below.</w:t>
      </w:r>
    </w:p>
    <w:bookmarkEnd w:id="45"/>
    <w:p w14:paraId="13DBCBF8" w14:textId="2605A89B" w:rsidR="00A01D0A" w:rsidRDefault="00F52B78" w:rsidP="00F52B78">
      <w:pPr>
        <w:keepNext/>
        <w:jc w:val="center"/>
      </w:pPr>
      <w:r>
        <w:rPr>
          <w:noProof/>
        </w:rPr>
        <w:drawing>
          <wp:inline distT="0" distB="0" distL="0" distR="0" wp14:anchorId="1B37C8B1" wp14:editId="3E84CF74">
            <wp:extent cx="5843016" cy="7635240"/>
            <wp:effectExtent l="0" t="0" r="571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3016" cy="7635240"/>
                    </a:xfrm>
                    <a:prstGeom prst="rect">
                      <a:avLst/>
                    </a:prstGeom>
                    <a:noFill/>
                  </pic:spPr>
                </pic:pic>
              </a:graphicData>
            </a:graphic>
          </wp:inline>
        </w:drawing>
      </w:r>
    </w:p>
    <w:p w14:paraId="345440A7" w14:textId="7300C423" w:rsidR="00A01D0A" w:rsidRPr="003868B8" w:rsidRDefault="00A01D0A" w:rsidP="003868B8">
      <w:pPr>
        <w:pStyle w:val="Figures"/>
      </w:pPr>
      <w:bookmarkStart w:id="46" w:name="_Ref531269512"/>
      <w:r w:rsidRPr="003868B8">
        <w:t xml:space="preserve">Figure </w:t>
      </w:r>
      <w:r w:rsidR="00FA0526">
        <w:rPr>
          <w:noProof/>
        </w:rPr>
        <w:fldChar w:fldCharType="begin"/>
      </w:r>
      <w:r w:rsidR="00FA0526">
        <w:rPr>
          <w:noProof/>
        </w:rPr>
        <w:instrText xml:space="preserve"> SEQ Figure \* ARABIC </w:instrText>
      </w:r>
      <w:r w:rsidR="00FA0526">
        <w:rPr>
          <w:noProof/>
        </w:rPr>
        <w:fldChar w:fldCharType="separate"/>
      </w:r>
      <w:r w:rsidR="00F33DA2">
        <w:rPr>
          <w:noProof/>
        </w:rPr>
        <w:t>2</w:t>
      </w:r>
      <w:r w:rsidR="00FA0526">
        <w:rPr>
          <w:noProof/>
        </w:rPr>
        <w:fldChar w:fldCharType="end"/>
      </w:r>
      <w:bookmarkEnd w:id="46"/>
      <w:r w:rsidRPr="003868B8">
        <w:t xml:space="preserve">: </w:t>
      </w:r>
      <w:r w:rsidR="001C2067" w:rsidRPr="003868B8">
        <w:t>IRP Process</w:t>
      </w:r>
    </w:p>
    <w:p w14:paraId="300EA8D0" w14:textId="7F5F4F67" w:rsidR="004E08CE" w:rsidRDefault="00606B2B" w:rsidP="004E08CE">
      <w:r>
        <w:t xml:space="preserve">This process results </w:t>
      </w:r>
      <w:r w:rsidR="004E08CE">
        <w:t>in</w:t>
      </w:r>
      <w:r w:rsidR="004E08CE" w:rsidRPr="009D49A5">
        <w:t xml:space="preserve"> </w:t>
      </w:r>
      <w:r w:rsidR="006D74D2">
        <w:t>a plan for</w:t>
      </w:r>
      <w:r w:rsidR="004E08CE" w:rsidRPr="009D49A5">
        <w:t xml:space="preserve"> demand</w:t>
      </w:r>
      <w:r w:rsidR="00A01D0A" w:rsidRPr="009D49A5">
        <w:t>- and supply-side options to serve customer needs in an economical manner considering reliability</w:t>
      </w:r>
      <w:r w:rsidR="000A5D90" w:rsidRPr="009D49A5">
        <w:t>, flexibility, and risk.</w:t>
      </w:r>
      <w:r w:rsidR="006A7A75" w:rsidRPr="009D49A5" w:rsidDel="006A7A75">
        <w:t xml:space="preserve"> </w:t>
      </w:r>
      <w:bookmarkStart w:id="47" w:name="_Toc347116281"/>
      <w:r w:rsidR="004E08CE">
        <w:t>The</w:t>
      </w:r>
      <w:r w:rsidR="004E08CE" w:rsidRPr="00EB5651">
        <w:t xml:space="preserve"> 2019</w:t>
      </w:r>
      <w:r w:rsidR="004E08CE">
        <w:t xml:space="preserve"> IRP</w:t>
      </w:r>
      <w:r w:rsidR="004E08CE" w:rsidRPr="00EB5651">
        <w:t xml:space="preserve"> present</w:t>
      </w:r>
      <w:r w:rsidR="004E08CE">
        <w:t>s</w:t>
      </w:r>
      <w:r w:rsidR="004E08CE" w:rsidRPr="00EB5651">
        <w:t xml:space="preserve"> the results of </w:t>
      </w:r>
      <w:r w:rsidR="009B4267">
        <w:t>nine</w:t>
      </w:r>
      <w:r w:rsidR="009B4267" w:rsidRPr="00EB5651">
        <w:t xml:space="preserve"> </w:t>
      </w:r>
      <w:r w:rsidR="004E08CE" w:rsidRPr="00EB5651">
        <w:t>scenario planning cases</w:t>
      </w:r>
      <w:r w:rsidR="004E08CE">
        <w:t>,</w:t>
      </w:r>
      <w:r w:rsidR="004E08CE" w:rsidRPr="00EB5651">
        <w:t xml:space="preserve"> </w:t>
      </w:r>
      <w:r w:rsidR="004E08CE">
        <w:t xml:space="preserve">as well as several sensitivities, which demonstrate </w:t>
      </w:r>
      <w:r w:rsidR="004F5DE2">
        <w:t xml:space="preserve">the benefits and flexibility of the Company’s strategy. The Company’s base case is established </w:t>
      </w:r>
      <w:r w:rsidR="004E08CE">
        <w:t xml:space="preserve">using the </w:t>
      </w:r>
      <w:r w:rsidR="000A5D90">
        <w:t>moderate</w:t>
      </w:r>
      <w:r w:rsidR="000578C6">
        <w:t xml:space="preserve"> </w:t>
      </w:r>
      <w:r w:rsidR="000A5D90">
        <w:t xml:space="preserve">gas, zero-dollar carbon (“MG0”) </w:t>
      </w:r>
      <w:r w:rsidR="004E08CE">
        <w:t>planning scenario.</w:t>
      </w:r>
    </w:p>
    <w:p w14:paraId="4B554130" w14:textId="0A43C4E1" w:rsidR="005E64A2" w:rsidRDefault="00801242" w:rsidP="00A7180F">
      <w:pPr>
        <w:pStyle w:val="Heading2"/>
      </w:pPr>
      <w:bookmarkStart w:id="48" w:name="_Toc536209124"/>
      <w:bookmarkStart w:id="49" w:name="_Ref527044815"/>
      <w:bookmarkStart w:id="50" w:name="_Ref527044822"/>
      <w:bookmarkStart w:id="51" w:name="_Ref527096854"/>
      <w:bookmarkEnd w:id="47"/>
      <w:r>
        <w:t xml:space="preserve">Inputs to the Integrated </w:t>
      </w:r>
      <w:r w:rsidR="00961645">
        <w:t>Resource Plan</w:t>
      </w:r>
      <w:bookmarkEnd w:id="48"/>
    </w:p>
    <w:p w14:paraId="7690808D" w14:textId="4508AE97" w:rsidR="005871E1" w:rsidRDefault="003E033C" w:rsidP="005871E1">
      <w:pPr>
        <w:rPr>
          <w:rFonts w:eastAsia="Times New Roman" w:cs="Arial"/>
        </w:rPr>
      </w:pPr>
      <w:r w:rsidRPr="00E305E4">
        <w:rPr>
          <w:rFonts w:eastAsia="Times New Roman" w:cs="Arial"/>
          <w:b/>
        </w:rPr>
        <w:t>Reserve Margin</w:t>
      </w:r>
      <w:r>
        <w:rPr>
          <w:rFonts w:eastAsia="Times New Roman" w:cs="Arial"/>
          <w:b/>
        </w:rPr>
        <w:t xml:space="preserve"> </w:t>
      </w:r>
      <w:r w:rsidRPr="00E305E4">
        <w:rPr>
          <w:rFonts w:eastAsia="Times New Roman" w:cs="Arial"/>
        </w:rPr>
        <w:t xml:space="preserve">— This IRP reflects a 16.25% </w:t>
      </w:r>
      <w:r w:rsidR="009F634A">
        <w:rPr>
          <w:rFonts w:eastAsia="Times New Roman" w:cs="Arial"/>
        </w:rPr>
        <w:t>S</w:t>
      </w:r>
      <w:r w:rsidR="007B1650" w:rsidRPr="00E305E4">
        <w:rPr>
          <w:rFonts w:eastAsia="Times New Roman" w:cs="Arial"/>
        </w:rPr>
        <w:t xml:space="preserve">ummer </w:t>
      </w:r>
      <w:r w:rsidRPr="00E305E4">
        <w:rPr>
          <w:rFonts w:eastAsia="Times New Roman" w:cs="Arial"/>
        </w:rPr>
        <w:t>Target Reserve Margin for long-term resource planning decision</w:t>
      </w:r>
      <w:r>
        <w:rPr>
          <w:rFonts w:eastAsia="Times New Roman" w:cs="Arial"/>
        </w:rPr>
        <w:t>s</w:t>
      </w:r>
      <w:r w:rsidRPr="00E305E4">
        <w:rPr>
          <w:rFonts w:eastAsia="Times New Roman" w:cs="Arial"/>
        </w:rPr>
        <w:t xml:space="preserve"> as approved in the 2016 IRP</w:t>
      </w:r>
      <w:r>
        <w:rPr>
          <w:rFonts w:eastAsia="Times New Roman" w:cs="Arial"/>
        </w:rPr>
        <w:t xml:space="preserve"> Order</w:t>
      </w:r>
      <w:r w:rsidRPr="00E305E4">
        <w:rPr>
          <w:rFonts w:eastAsia="Times New Roman" w:cs="Arial"/>
        </w:rPr>
        <w:t xml:space="preserve">. </w:t>
      </w:r>
      <w:r>
        <w:rPr>
          <w:rFonts w:eastAsia="Times New Roman" w:cs="Arial"/>
        </w:rPr>
        <w:t>In addition</w:t>
      </w:r>
      <w:r w:rsidRPr="00E305E4">
        <w:rPr>
          <w:rFonts w:eastAsia="Times New Roman" w:cs="Arial"/>
        </w:rPr>
        <w:t xml:space="preserve">, as </w:t>
      </w:r>
      <w:r>
        <w:rPr>
          <w:rFonts w:eastAsia="Times New Roman" w:cs="Arial"/>
        </w:rPr>
        <w:t>discussed</w:t>
      </w:r>
      <w:r w:rsidRPr="00E305E4">
        <w:rPr>
          <w:rFonts w:eastAsia="Times New Roman" w:cs="Arial"/>
        </w:rPr>
        <w:t xml:space="preserve"> in </w:t>
      </w:r>
      <w:r w:rsidR="009206B9">
        <w:rPr>
          <w:rFonts w:eastAsia="Times New Roman" w:cs="Arial"/>
        </w:rPr>
        <w:fldChar w:fldCharType="begin"/>
      </w:r>
      <w:r w:rsidR="009206B9">
        <w:rPr>
          <w:rFonts w:eastAsia="Times New Roman" w:cs="Arial"/>
        </w:rPr>
        <w:instrText xml:space="preserve"> REF _Ref532972233 \r \h </w:instrText>
      </w:r>
      <w:r w:rsidR="009206B9">
        <w:rPr>
          <w:rFonts w:eastAsia="Times New Roman" w:cs="Arial"/>
        </w:rPr>
      </w:r>
      <w:r w:rsidR="009206B9">
        <w:rPr>
          <w:rFonts w:eastAsia="Times New Roman" w:cs="Arial"/>
        </w:rPr>
        <w:fldChar w:fldCharType="separate"/>
      </w:r>
      <w:r w:rsidR="00F33DA2">
        <w:rPr>
          <w:rFonts w:eastAsia="Times New Roman" w:cs="Arial"/>
        </w:rPr>
        <w:t>CHAPTER 5</w:t>
      </w:r>
      <w:r w:rsidR="009206B9">
        <w:rPr>
          <w:rFonts w:eastAsia="Times New Roman" w:cs="Arial"/>
        </w:rPr>
        <w:fldChar w:fldCharType="end"/>
      </w:r>
      <w:r w:rsidRPr="00E305E4">
        <w:rPr>
          <w:rFonts w:eastAsia="Times New Roman" w:cs="Arial"/>
        </w:rPr>
        <w:t xml:space="preserve"> as well as Technical Appendix Volume 1 (Reserve Margin Study), </w:t>
      </w:r>
      <w:r w:rsidR="004E08CE" w:rsidRPr="00E305E4">
        <w:rPr>
          <w:rFonts w:eastAsia="Times New Roman" w:cs="Arial"/>
        </w:rPr>
        <w:t xml:space="preserve">the Company is </w:t>
      </w:r>
      <w:r w:rsidR="00F92F70">
        <w:rPr>
          <w:rFonts w:eastAsia="Times New Roman" w:cs="Arial"/>
        </w:rPr>
        <w:t>adopt</w:t>
      </w:r>
      <w:r w:rsidR="00A077B3">
        <w:rPr>
          <w:rFonts w:eastAsia="Times New Roman" w:cs="Arial"/>
        </w:rPr>
        <w:t xml:space="preserve">ing </w:t>
      </w:r>
      <w:r w:rsidR="00F92F70">
        <w:rPr>
          <w:rFonts w:eastAsia="Times New Roman" w:cs="Arial"/>
        </w:rPr>
        <w:t>seasonal planning and the implementation of</w:t>
      </w:r>
      <w:r w:rsidR="004E08CE">
        <w:rPr>
          <w:rFonts w:eastAsia="Times New Roman" w:cs="Arial"/>
        </w:rPr>
        <w:t xml:space="preserve"> </w:t>
      </w:r>
      <w:r w:rsidR="004E08CE" w:rsidRPr="00E305E4">
        <w:rPr>
          <w:rFonts w:eastAsia="Times New Roman" w:cs="Arial"/>
        </w:rPr>
        <w:t xml:space="preserve">a 26% </w:t>
      </w:r>
      <w:r w:rsidR="004E08CE">
        <w:rPr>
          <w:rFonts w:eastAsia="Times New Roman" w:cs="Arial"/>
        </w:rPr>
        <w:t>W</w:t>
      </w:r>
      <w:r w:rsidR="004E08CE" w:rsidRPr="00E305E4">
        <w:rPr>
          <w:rFonts w:eastAsia="Times New Roman" w:cs="Arial"/>
        </w:rPr>
        <w:t>inter Target Reserve Margin</w:t>
      </w:r>
      <w:r w:rsidR="004E08CE">
        <w:rPr>
          <w:rFonts w:eastAsia="Times New Roman" w:cs="Arial"/>
        </w:rPr>
        <w:t xml:space="preserve"> to accommodate</w:t>
      </w:r>
      <w:r w:rsidR="006D74D2">
        <w:rPr>
          <w:rFonts w:eastAsia="Times New Roman" w:cs="Arial"/>
        </w:rPr>
        <w:t xml:space="preserve"> the need for</w:t>
      </w:r>
      <w:r w:rsidR="004E08CE">
        <w:rPr>
          <w:rFonts w:eastAsia="Times New Roman" w:cs="Arial"/>
        </w:rPr>
        <w:t xml:space="preserve"> seasonal planning</w:t>
      </w:r>
      <w:r w:rsidR="004E08CE" w:rsidRPr="00E305E4">
        <w:rPr>
          <w:rFonts w:eastAsia="Times New Roman" w:cs="Arial"/>
        </w:rPr>
        <w:t xml:space="preserve">. Sensitivities demonstrating the </w:t>
      </w:r>
      <w:r w:rsidR="005871E1" w:rsidRPr="00E305E4">
        <w:rPr>
          <w:rFonts w:eastAsia="Times New Roman" w:cs="Arial"/>
        </w:rPr>
        <w:t>impacts of a Winter Target Reserve Margin are included in this IRP but are not the basis of decisions reflect</w:t>
      </w:r>
      <w:r w:rsidR="005871E1">
        <w:rPr>
          <w:rFonts w:eastAsia="Times New Roman" w:cs="Arial"/>
        </w:rPr>
        <w:t>ed in the supply-side strategy.</w:t>
      </w:r>
    </w:p>
    <w:p w14:paraId="20B2A462" w14:textId="5F9F1FB6" w:rsidR="005E64A2" w:rsidRDefault="005E64A2" w:rsidP="006549EE">
      <w:r w:rsidRPr="00E305E4">
        <w:rPr>
          <w:b/>
        </w:rPr>
        <w:t>Fuel Forecast</w:t>
      </w:r>
      <w:r w:rsidRPr="00E305E4">
        <w:t xml:space="preserve"> — Both short-term (</w:t>
      </w:r>
      <w:r w:rsidR="00E446D3">
        <w:t>2019 through 2021</w:t>
      </w:r>
      <w:r w:rsidRPr="00E305E4">
        <w:t>) and long-term (</w:t>
      </w:r>
      <w:r w:rsidR="00E446D3">
        <w:t>2022</w:t>
      </w:r>
      <w:r w:rsidRPr="00E305E4">
        <w:t xml:space="preserve"> and beyond) fuel and allowance forecasts are developed. Short-term forecasts are updated monthly as part of the fuel budgeting process and marginal pricing dispatch procedures. The long-term forecasts </w:t>
      </w:r>
      <w:r w:rsidR="00B43DFF">
        <w:t>are</w:t>
      </w:r>
      <w:r w:rsidRPr="00E305E4">
        <w:t xml:space="preserve"> discussed in Technical Appendix Volume 1</w:t>
      </w:r>
      <w:r w:rsidR="004C1F3C">
        <w:t>.</w:t>
      </w:r>
    </w:p>
    <w:p w14:paraId="129B2E49" w14:textId="7CF596FA" w:rsidR="00D147E4" w:rsidRPr="00D147E4" w:rsidRDefault="00D147E4" w:rsidP="006549EE">
      <w:r w:rsidRPr="00D147E4">
        <w:rPr>
          <w:b/>
        </w:rPr>
        <w:t>Economic Forecast</w:t>
      </w:r>
      <w:r w:rsidRPr="00D147E4">
        <w:t xml:space="preserve"> — </w:t>
      </w:r>
      <w:r w:rsidR="00FD4343">
        <w:t xml:space="preserve">IHS </w:t>
      </w:r>
      <w:r w:rsidR="00FD4343" w:rsidRPr="00D147E4">
        <w:t xml:space="preserve">Markit’s </w:t>
      </w:r>
      <w:r w:rsidRPr="00D147E4">
        <w:t xml:space="preserve">macroeconomic forecast is the basis for inflation and cost of capital estimates. </w:t>
      </w:r>
      <w:r w:rsidR="005D2618">
        <w:t xml:space="preserve">IHS </w:t>
      </w:r>
      <w:r w:rsidRPr="00D147E4">
        <w:t xml:space="preserve">Markit developed a forecast of economic variables and demographic statistics for the </w:t>
      </w:r>
      <w:r w:rsidR="00F92F70">
        <w:t>s</w:t>
      </w:r>
      <w:r w:rsidRPr="00D147E4">
        <w:t xml:space="preserve">tate of Georgia. Key descriptive variables from the economic and demographic forecast </w:t>
      </w:r>
      <w:r w:rsidR="00F92F70">
        <w:t xml:space="preserve">for </w:t>
      </w:r>
      <w:r w:rsidRPr="00D147E4">
        <w:t>Georgia were used to produce the Budget 2019</w:t>
      </w:r>
      <w:r>
        <w:t xml:space="preserve"> </w:t>
      </w:r>
      <w:r w:rsidR="008A57FA">
        <w:t>Load</w:t>
      </w:r>
      <w:r w:rsidR="0023265A">
        <w:t xml:space="preserve"> </w:t>
      </w:r>
      <w:r>
        <w:t>and Energy Forecast</w:t>
      </w:r>
      <w:r w:rsidR="00083A3E">
        <w:t>s</w:t>
      </w:r>
      <w:r>
        <w:t>.</w:t>
      </w:r>
    </w:p>
    <w:p w14:paraId="027434C2" w14:textId="2881B8F1" w:rsidR="00D147E4" w:rsidRDefault="008A57FA" w:rsidP="006549EE">
      <w:pPr>
        <w:rPr>
          <w:rFonts w:eastAsia="Times New Roman" w:cs="Arial"/>
        </w:rPr>
      </w:pPr>
      <w:r>
        <w:rPr>
          <w:rFonts w:eastAsia="Times New Roman" w:cs="Arial"/>
          <w:b/>
        </w:rPr>
        <w:t>Load</w:t>
      </w:r>
      <w:r w:rsidR="0096026A" w:rsidRPr="00E305E4">
        <w:rPr>
          <w:rFonts w:eastAsia="Times New Roman" w:cs="Arial"/>
          <w:b/>
        </w:rPr>
        <w:t xml:space="preserve"> </w:t>
      </w:r>
      <w:r w:rsidR="00D147E4" w:rsidRPr="00E305E4">
        <w:rPr>
          <w:rFonts w:eastAsia="Times New Roman" w:cs="Arial"/>
          <w:b/>
        </w:rPr>
        <w:t>and Energy Forecast</w:t>
      </w:r>
      <w:r w:rsidR="00083A3E">
        <w:rPr>
          <w:rFonts w:eastAsia="Times New Roman" w:cs="Arial"/>
          <w:b/>
        </w:rPr>
        <w:t>s</w:t>
      </w:r>
      <w:r w:rsidR="00D147E4" w:rsidRPr="00E305E4">
        <w:rPr>
          <w:rFonts w:eastAsia="Times New Roman" w:cs="Arial"/>
        </w:rPr>
        <w:t xml:space="preserve"> — The Budget 2019 </w:t>
      </w:r>
      <w:r>
        <w:rPr>
          <w:rFonts w:eastAsia="Times New Roman" w:cs="Arial"/>
        </w:rPr>
        <w:t>Load</w:t>
      </w:r>
      <w:r w:rsidR="0096026A" w:rsidRPr="00E305E4">
        <w:rPr>
          <w:rFonts w:eastAsia="Times New Roman" w:cs="Arial"/>
        </w:rPr>
        <w:t xml:space="preserve"> </w:t>
      </w:r>
      <w:r w:rsidR="00D147E4" w:rsidRPr="00E305E4">
        <w:rPr>
          <w:rFonts w:eastAsia="Times New Roman" w:cs="Arial"/>
        </w:rPr>
        <w:t>and Energy Forecast</w:t>
      </w:r>
      <w:r w:rsidR="00083A3E">
        <w:rPr>
          <w:rFonts w:eastAsia="Times New Roman" w:cs="Arial"/>
        </w:rPr>
        <w:t>s</w:t>
      </w:r>
      <w:r w:rsidR="00D147E4" w:rsidRPr="00E305E4">
        <w:rPr>
          <w:rFonts w:eastAsia="Times New Roman" w:cs="Arial"/>
        </w:rPr>
        <w:t xml:space="preserve"> </w:t>
      </w:r>
      <w:r w:rsidR="00083A3E" w:rsidRPr="00E305E4">
        <w:rPr>
          <w:rFonts w:eastAsia="Times New Roman" w:cs="Arial"/>
        </w:rPr>
        <w:t>w</w:t>
      </w:r>
      <w:r w:rsidR="00083A3E">
        <w:rPr>
          <w:rFonts w:eastAsia="Times New Roman" w:cs="Arial"/>
        </w:rPr>
        <w:t>ere</w:t>
      </w:r>
      <w:r w:rsidR="00083A3E" w:rsidRPr="00E305E4">
        <w:rPr>
          <w:rFonts w:eastAsia="Times New Roman" w:cs="Arial"/>
        </w:rPr>
        <w:t xml:space="preserve"> </w:t>
      </w:r>
      <w:r w:rsidR="00D147E4" w:rsidRPr="00E305E4">
        <w:rPr>
          <w:rFonts w:eastAsia="Times New Roman" w:cs="Arial"/>
        </w:rPr>
        <w:t>started in the spring of 2018 and finalized in the fall of 2018.</w:t>
      </w:r>
      <w:r w:rsidR="00D147E4">
        <w:rPr>
          <w:rFonts w:eastAsia="Times New Roman" w:cs="Arial"/>
        </w:rPr>
        <w:t xml:space="preserve"> </w:t>
      </w:r>
      <w:r w:rsidR="00D147E4" w:rsidRPr="00E305E4">
        <w:rPr>
          <w:rFonts w:eastAsia="Times New Roman" w:cs="Arial"/>
        </w:rPr>
        <w:t xml:space="preserve">The </w:t>
      </w:r>
      <w:r>
        <w:rPr>
          <w:rFonts w:eastAsia="Times New Roman" w:cs="Arial"/>
        </w:rPr>
        <w:t>load</w:t>
      </w:r>
      <w:r w:rsidR="00C33C80" w:rsidRPr="00E305E4">
        <w:rPr>
          <w:rFonts w:eastAsia="Times New Roman" w:cs="Arial"/>
        </w:rPr>
        <w:t xml:space="preserve"> </w:t>
      </w:r>
      <w:r w:rsidR="00D147E4" w:rsidRPr="00E305E4">
        <w:rPr>
          <w:rFonts w:eastAsia="Times New Roman" w:cs="Arial"/>
        </w:rPr>
        <w:t>and energy forecasting process use</w:t>
      </w:r>
      <w:r w:rsidR="00D147E4">
        <w:rPr>
          <w:rFonts w:eastAsia="Times New Roman" w:cs="Arial"/>
        </w:rPr>
        <w:t>s</w:t>
      </w:r>
      <w:r w:rsidR="00D147E4" w:rsidRPr="00E305E4">
        <w:rPr>
          <w:rFonts w:eastAsia="Times New Roman" w:cs="Arial"/>
        </w:rPr>
        <w:t xml:space="preserve"> a combination of end-use and econometric analyses</w:t>
      </w:r>
      <w:r w:rsidR="00D147E4">
        <w:rPr>
          <w:rFonts w:eastAsia="Times New Roman" w:cs="Arial"/>
        </w:rPr>
        <w:t xml:space="preserve"> and</w:t>
      </w:r>
      <w:r w:rsidR="00D147E4" w:rsidRPr="00E305E4">
        <w:rPr>
          <w:rFonts w:eastAsia="Times New Roman" w:cs="Arial"/>
        </w:rPr>
        <w:t xml:space="preserve"> is explained in detail in </w:t>
      </w:r>
      <w:r w:rsidR="009206B9">
        <w:rPr>
          <w:rFonts w:eastAsia="Times New Roman" w:cs="Arial"/>
        </w:rPr>
        <w:fldChar w:fldCharType="begin"/>
      </w:r>
      <w:r w:rsidR="009206B9">
        <w:rPr>
          <w:rFonts w:eastAsia="Times New Roman" w:cs="Arial"/>
        </w:rPr>
        <w:instrText xml:space="preserve"> REF _Ref532998646 \r \h </w:instrText>
      </w:r>
      <w:r w:rsidR="009206B9">
        <w:rPr>
          <w:rFonts w:eastAsia="Times New Roman" w:cs="Arial"/>
        </w:rPr>
      </w:r>
      <w:r w:rsidR="009206B9">
        <w:rPr>
          <w:rFonts w:eastAsia="Times New Roman" w:cs="Arial"/>
        </w:rPr>
        <w:fldChar w:fldCharType="separate"/>
      </w:r>
      <w:r w:rsidR="00F33DA2">
        <w:rPr>
          <w:rFonts w:eastAsia="Times New Roman" w:cs="Arial"/>
        </w:rPr>
        <w:t>CHAPTER 6</w:t>
      </w:r>
      <w:r w:rsidR="009206B9">
        <w:rPr>
          <w:rFonts w:eastAsia="Times New Roman" w:cs="Arial"/>
        </w:rPr>
        <w:fldChar w:fldCharType="end"/>
      </w:r>
      <w:r w:rsidR="00D147E4">
        <w:rPr>
          <w:rFonts w:eastAsia="Times New Roman" w:cs="Arial"/>
        </w:rPr>
        <w:t xml:space="preserve"> </w:t>
      </w:r>
      <w:r w:rsidR="00D147E4" w:rsidRPr="00E305E4">
        <w:rPr>
          <w:rFonts w:eastAsia="Times New Roman" w:cs="Arial"/>
        </w:rPr>
        <w:t>and in Technical Appendix Volume 1</w:t>
      </w:r>
      <w:r w:rsidR="00D147E4">
        <w:rPr>
          <w:rFonts w:eastAsia="Times New Roman" w:cs="Arial"/>
        </w:rPr>
        <w:t>.</w:t>
      </w:r>
    </w:p>
    <w:p w14:paraId="41AA2947" w14:textId="0D33A5FD" w:rsidR="00AA3DF2" w:rsidRPr="00F72D93" w:rsidRDefault="00AA3DF2" w:rsidP="006549EE">
      <w:pPr>
        <w:rPr>
          <w:rFonts w:ascii="Times New Roman" w:eastAsia="Times New Roman" w:hAnsi="Times New Roman" w:cs="Times New Roman"/>
          <w:sz w:val="24"/>
          <w:szCs w:val="24"/>
        </w:rPr>
      </w:pPr>
      <w:r w:rsidRPr="00AA3DF2">
        <w:rPr>
          <w:rFonts w:eastAsia="Times New Roman" w:cs="Arial"/>
          <w:b/>
        </w:rPr>
        <w:t xml:space="preserve">Technology Evaluation Process and Economic Screening </w:t>
      </w:r>
      <w:r w:rsidRPr="00AA3DF2">
        <w:rPr>
          <w:rFonts w:eastAsia="Times New Roman" w:cs="Arial"/>
        </w:rPr>
        <w:t xml:space="preserve">— </w:t>
      </w:r>
      <w:r w:rsidR="00F72D93" w:rsidRPr="00F72D93">
        <w:rPr>
          <w:rFonts w:eastAsia="Times New Roman" w:cs="Arial"/>
        </w:rPr>
        <w:t>Current estimates are needed for cost</w:t>
      </w:r>
      <w:r w:rsidR="0052104D">
        <w:rPr>
          <w:rFonts w:eastAsia="Times New Roman" w:cs="Arial"/>
        </w:rPr>
        <w:t>s</w:t>
      </w:r>
      <w:r w:rsidR="00F72D93" w:rsidRPr="00F72D93">
        <w:rPr>
          <w:rFonts w:eastAsia="Times New Roman" w:cs="Arial"/>
        </w:rPr>
        <w:t>, spending curves, emissions, and operating characteristics of the types of new supply</w:t>
      </w:r>
      <w:r w:rsidR="009778FA">
        <w:rPr>
          <w:rFonts w:eastAsia="Times New Roman" w:cs="Arial"/>
        </w:rPr>
        <w:t>-</w:t>
      </w:r>
      <w:r w:rsidR="00F72D93" w:rsidRPr="00F72D93">
        <w:rPr>
          <w:rFonts w:eastAsia="Times New Roman" w:cs="Arial"/>
        </w:rPr>
        <w:t xml:space="preserve">side generating units most likely to be added to the </w:t>
      </w:r>
      <w:r w:rsidR="009778FA">
        <w:rPr>
          <w:rFonts w:eastAsia="Times New Roman" w:cs="Arial"/>
        </w:rPr>
        <w:t>S</w:t>
      </w:r>
      <w:r w:rsidR="009778FA" w:rsidRPr="00F72D93">
        <w:rPr>
          <w:rFonts w:eastAsia="Times New Roman" w:cs="Arial"/>
        </w:rPr>
        <w:t>ystem</w:t>
      </w:r>
      <w:r w:rsidR="00F72D93" w:rsidRPr="00F72D93">
        <w:rPr>
          <w:rFonts w:eastAsia="Times New Roman" w:cs="Arial"/>
        </w:rPr>
        <w:t xml:space="preserve">. Such estimates are contained in the Generation Technology Data Book (“GTDB”), which is attached in Technical Appendix Volume 1. Natural gas-fueled simple-cycle </w:t>
      </w:r>
      <w:r w:rsidR="00E97AB1" w:rsidRPr="005F7FE1">
        <w:t>CTs</w:t>
      </w:r>
      <w:r w:rsidR="00F72D93" w:rsidRPr="00F72D93">
        <w:rPr>
          <w:rFonts w:eastAsia="Times New Roman" w:cs="Arial"/>
        </w:rPr>
        <w:t xml:space="preserve"> (dual fuel option) and</w:t>
      </w:r>
      <w:r w:rsidR="00E97AB1">
        <w:rPr>
          <w:rFonts w:eastAsia="Times New Roman" w:cs="Arial"/>
        </w:rPr>
        <w:t xml:space="preserve"> </w:t>
      </w:r>
      <w:r w:rsidR="00F72D93" w:rsidRPr="00F72D93">
        <w:rPr>
          <w:rFonts w:eastAsia="Times New Roman" w:cs="Arial"/>
        </w:rPr>
        <w:t>CC units are the generating technologies</w:t>
      </w:r>
      <w:r w:rsidR="009778FA">
        <w:rPr>
          <w:rFonts w:eastAsia="Times New Roman" w:cs="Arial"/>
        </w:rPr>
        <w:t xml:space="preserve"> most</w:t>
      </w:r>
      <w:r w:rsidR="00F72D93" w:rsidRPr="00F72D93">
        <w:rPr>
          <w:rFonts w:eastAsia="Times New Roman" w:cs="Arial"/>
        </w:rPr>
        <w:t xml:space="preserve"> likely to be added to the </w:t>
      </w:r>
      <w:r w:rsidR="009778FA">
        <w:rPr>
          <w:rFonts w:eastAsia="Times New Roman" w:cs="Arial"/>
        </w:rPr>
        <w:t>S</w:t>
      </w:r>
      <w:r w:rsidR="009778FA" w:rsidRPr="00F72D93">
        <w:rPr>
          <w:rFonts w:eastAsia="Times New Roman" w:cs="Arial"/>
        </w:rPr>
        <w:t xml:space="preserve">ystem </w:t>
      </w:r>
      <w:r w:rsidR="00F72D93" w:rsidRPr="00F72D93">
        <w:rPr>
          <w:rFonts w:eastAsia="Times New Roman" w:cs="Arial"/>
        </w:rPr>
        <w:t>in addition to renewable gene</w:t>
      </w:r>
      <w:r w:rsidR="004C1F3C">
        <w:rPr>
          <w:rFonts w:eastAsia="Times New Roman" w:cs="Arial"/>
        </w:rPr>
        <w:t xml:space="preserve">ration and </w:t>
      </w:r>
      <w:r w:rsidR="003E1F57">
        <w:rPr>
          <w:rFonts w:eastAsia="Times New Roman" w:cs="Arial"/>
        </w:rPr>
        <w:t>DSOs</w:t>
      </w:r>
      <w:r w:rsidR="004C1F3C">
        <w:rPr>
          <w:rFonts w:eastAsia="Times New Roman" w:cs="Arial"/>
        </w:rPr>
        <w:t>.</w:t>
      </w:r>
    </w:p>
    <w:p w14:paraId="00590432" w14:textId="1B94F7E4" w:rsidR="005E64A2" w:rsidRPr="00E305E4" w:rsidRDefault="005E64A2" w:rsidP="006549EE">
      <w:pPr>
        <w:rPr>
          <w:rFonts w:eastAsia="Times New Roman" w:cs="Arial"/>
        </w:rPr>
      </w:pPr>
      <w:r w:rsidRPr="00E305E4">
        <w:rPr>
          <w:rFonts w:eastAsia="Times New Roman" w:cs="Arial"/>
          <w:b/>
        </w:rPr>
        <w:t>Financial Cost and Escalation</w:t>
      </w:r>
      <w:r w:rsidRPr="00E305E4">
        <w:rPr>
          <w:rFonts w:eastAsia="Times New Roman" w:cs="Arial"/>
        </w:rPr>
        <w:t xml:space="preserve"> — Long-term debt and common stock are issued to finance the </w:t>
      </w:r>
      <w:r w:rsidR="000A5D90" w:rsidRPr="00E305E4">
        <w:rPr>
          <w:rFonts w:eastAsia="Times New Roman" w:cs="Arial"/>
        </w:rPr>
        <w:t xml:space="preserve">construction of generating units. </w:t>
      </w:r>
      <w:r w:rsidRPr="00E305E4">
        <w:rPr>
          <w:rFonts w:eastAsia="Times New Roman" w:cs="Arial"/>
        </w:rPr>
        <w:t xml:space="preserve">The returns demanded by the investment community are affected by perceptions of </w:t>
      </w:r>
      <w:r w:rsidR="00F92F70">
        <w:rPr>
          <w:rFonts w:eastAsia="Times New Roman" w:cs="Arial"/>
        </w:rPr>
        <w:t xml:space="preserve">business risks and </w:t>
      </w:r>
      <w:r w:rsidRPr="00E305E4">
        <w:rPr>
          <w:rFonts w:eastAsia="Times New Roman" w:cs="Arial"/>
        </w:rPr>
        <w:t xml:space="preserve">the inflation rate. The returns demanded by the investment community and the income tax rates affect the carrying cost of the investment, which can in turn affect the </w:t>
      </w:r>
      <w:r w:rsidR="009778FA">
        <w:rPr>
          <w:rFonts w:eastAsia="Times New Roman" w:cs="Arial"/>
        </w:rPr>
        <w:t xml:space="preserve">resource capacity </w:t>
      </w:r>
      <w:r w:rsidRPr="00E305E4">
        <w:rPr>
          <w:rFonts w:eastAsia="Times New Roman" w:cs="Arial"/>
        </w:rPr>
        <w:t>mix.</w:t>
      </w:r>
    </w:p>
    <w:p w14:paraId="7202954D" w14:textId="06FB8024" w:rsidR="005E64A2" w:rsidRDefault="005E64A2" w:rsidP="006549EE">
      <w:pPr>
        <w:rPr>
          <w:rFonts w:eastAsia="Times New Roman" w:cs="Arial"/>
        </w:rPr>
      </w:pPr>
      <w:r w:rsidRPr="00E305E4">
        <w:rPr>
          <w:rFonts w:eastAsia="Times New Roman" w:cs="Arial"/>
        </w:rPr>
        <w:t xml:space="preserve">The </w:t>
      </w:r>
      <w:r w:rsidR="005D2618">
        <w:rPr>
          <w:rFonts w:eastAsia="Times New Roman" w:cs="Arial"/>
        </w:rPr>
        <w:t xml:space="preserve">IHS </w:t>
      </w:r>
      <w:r w:rsidR="0096026A">
        <w:t>Markit</w:t>
      </w:r>
      <w:r w:rsidR="0096026A" w:rsidRPr="00E305E4" w:rsidDel="0096026A">
        <w:rPr>
          <w:rFonts w:eastAsia="Times New Roman" w:cs="Arial"/>
        </w:rPr>
        <w:t xml:space="preserve"> </w:t>
      </w:r>
      <w:r w:rsidRPr="00E305E4">
        <w:rPr>
          <w:rFonts w:eastAsia="Times New Roman" w:cs="Arial"/>
        </w:rPr>
        <w:t xml:space="preserve">forecast is the basis of the financing and inflation cost estimates used in the planning process. For the </w:t>
      </w:r>
      <w:r w:rsidR="00D147E4">
        <w:rPr>
          <w:rFonts w:eastAsia="Times New Roman" w:cs="Arial"/>
        </w:rPr>
        <w:t>mix analysis</w:t>
      </w:r>
      <w:r w:rsidRPr="00E305E4">
        <w:rPr>
          <w:rFonts w:eastAsia="Times New Roman" w:cs="Arial"/>
        </w:rPr>
        <w:t xml:space="preserve">, </w:t>
      </w:r>
      <w:r w:rsidR="00800D6B">
        <w:rPr>
          <w:rFonts w:eastAsia="Times New Roman" w:cs="Arial"/>
        </w:rPr>
        <w:t xml:space="preserve">an internally-developed average set of cost escalations was used. </w:t>
      </w:r>
      <w:r w:rsidRPr="00E305E4">
        <w:rPr>
          <w:rFonts w:eastAsia="Times New Roman" w:cs="Arial"/>
        </w:rPr>
        <w:t xml:space="preserve">Discount analysis using the weighted average cost of capital is applied to place more emphasis on the near term. More information on the discount analysis and the financial parameters used in the </w:t>
      </w:r>
      <w:r w:rsidR="00D147E4">
        <w:rPr>
          <w:rFonts w:eastAsia="Times New Roman" w:cs="Arial"/>
        </w:rPr>
        <w:t>mix</w:t>
      </w:r>
      <w:r w:rsidR="00D147E4" w:rsidRPr="00E305E4">
        <w:rPr>
          <w:rFonts w:eastAsia="Times New Roman" w:cs="Arial"/>
        </w:rPr>
        <w:t xml:space="preserve"> </w:t>
      </w:r>
      <w:r w:rsidRPr="00E305E4">
        <w:rPr>
          <w:rFonts w:eastAsia="Times New Roman" w:cs="Arial"/>
        </w:rPr>
        <w:t xml:space="preserve">process is shown in the </w:t>
      </w:r>
      <w:r w:rsidR="00843F7D">
        <w:rPr>
          <w:rFonts w:eastAsia="Times New Roman" w:cs="Arial"/>
        </w:rPr>
        <w:t xml:space="preserve">Resource </w:t>
      </w:r>
      <w:r w:rsidRPr="00E305E4">
        <w:rPr>
          <w:rFonts w:eastAsia="Times New Roman" w:cs="Arial"/>
        </w:rPr>
        <w:t xml:space="preserve">Mix Study in Technical Appendix Volume </w:t>
      </w:r>
      <w:r w:rsidR="00FD2305">
        <w:rPr>
          <w:rFonts w:eastAsia="Times New Roman" w:cs="Arial"/>
        </w:rPr>
        <w:t>2</w:t>
      </w:r>
      <w:r w:rsidRPr="00E305E4">
        <w:rPr>
          <w:rFonts w:eastAsia="Times New Roman" w:cs="Arial"/>
        </w:rPr>
        <w:t>.</w:t>
      </w:r>
    </w:p>
    <w:p w14:paraId="14DE0CF0" w14:textId="5EE7E8BA" w:rsidR="00AA3DF2" w:rsidRPr="00AA3DF2" w:rsidRDefault="00801242" w:rsidP="00A7180F">
      <w:pPr>
        <w:pStyle w:val="Heading2"/>
      </w:pPr>
      <w:bookmarkStart w:id="52" w:name="_Toc536209125"/>
      <w:r>
        <w:t>New Generating Technologies</w:t>
      </w:r>
      <w:bookmarkEnd w:id="52"/>
    </w:p>
    <w:p w14:paraId="4F6F42FB" w14:textId="5A48193D" w:rsidR="006D199F" w:rsidRPr="008764A3" w:rsidRDefault="006D199F" w:rsidP="006D199F">
      <w:pPr>
        <w:rPr>
          <w:rFonts w:eastAsia="Arial" w:cs="Arial"/>
        </w:rPr>
      </w:pPr>
      <w:bookmarkStart w:id="53" w:name="_Hlk527049743"/>
      <w:r w:rsidRPr="008764A3">
        <w:rPr>
          <w:rFonts w:eastAsia="Arial" w:cs="Arial"/>
        </w:rPr>
        <w:t xml:space="preserve">The Company continually evaluates established and emerging generating technologies as a starting point in developing </w:t>
      </w:r>
      <w:r>
        <w:rPr>
          <w:rFonts w:eastAsia="Arial" w:cs="Arial"/>
        </w:rPr>
        <w:t>its</w:t>
      </w:r>
      <w:r w:rsidRPr="008764A3">
        <w:rPr>
          <w:rFonts w:eastAsia="Arial" w:cs="Arial"/>
        </w:rPr>
        <w:t xml:space="preserve"> base supply-side plan. The objective is to assess their cost, </w:t>
      </w:r>
      <w:r w:rsidR="00FA6CA4">
        <w:rPr>
          <w:rFonts w:eastAsia="Arial" w:cs="Arial"/>
        </w:rPr>
        <w:t>status of development</w:t>
      </w:r>
      <w:r w:rsidRPr="008764A3">
        <w:rPr>
          <w:rFonts w:eastAsia="Arial" w:cs="Arial"/>
        </w:rPr>
        <w:t>, safety, operational reliability, flexibility, economic viability, environmental acceptability, fuel availability, construction lead times, and other factors.</w:t>
      </w:r>
    </w:p>
    <w:p w14:paraId="7A697F2E" w14:textId="77777777" w:rsidR="006D199F" w:rsidRPr="008764A3" w:rsidRDefault="006D199F" w:rsidP="006D199F">
      <w:pPr>
        <w:rPr>
          <w:rFonts w:eastAsia="Arial" w:cs="Arial"/>
        </w:rPr>
      </w:pPr>
      <w:r w:rsidRPr="008764A3">
        <w:rPr>
          <w:rFonts w:eastAsia="Arial" w:cs="Arial"/>
        </w:rPr>
        <w:t>The evaluation process:</w:t>
      </w:r>
    </w:p>
    <w:p w14:paraId="3C410C69" w14:textId="77777777" w:rsidR="006D199F" w:rsidRPr="008764A3" w:rsidRDefault="006D199F" w:rsidP="006D199F">
      <w:pPr>
        <w:numPr>
          <w:ilvl w:val="0"/>
          <w:numId w:val="33"/>
        </w:numPr>
        <w:contextualSpacing/>
        <w:rPr>
          <w:rFonts w:eastAsia="Arial" w:cs="Arial"/>
        </w:rPr>
      </w:pPr>
      <w:r w:rsidRPr="008764A3">
        <w:rPr>
          <w:rFonts w:eastAsia="Arial" w:cs="Arial"/>
        </w:rPr>
        <w:t>Identifies and reviews an expansive portfolio of conventional and new supply-side generation technology options</w:t>
      </w:r>
      <w:r>
        <w:rPr>
          <w:rFonts w:eastAsia="Arial" w:cs="Arial"/>
        </w:rPr>
        <w:t>;</w:t>
      </w:r>
    </w:p>
    <w:p w14:paraId="2685E5FF" w14:textId="4F729DFC" w:rsidR="006D199F" w:rsidRPr="008764A3" w:rsidRDefault="006D199F" w:rsidP="006D199F">
      <w:pPr>
        <w:numPr>
          <w:ilvl w:val="0"/>
          <w:numId w:val="33"/>
        </w:numPr>
        <w:contextualSpacing/>
        <w:rPr>
          <w:rFonts w:eastAsia="Arial" w:cs="Arial"/>
        </w:rPr>
      </w:pPr>
      <w:r w:rsidRPr="008764A3">
        <w:rPr>
          <w:rFonts w:eastAsia="Arial" w:cs="Arial"/>
        </w:rPr>
        <w:t xml:space="preserve">Initiates a preliminary screening analysis based on </w:t>
      </w:r>
      <w:r w:rsidR="000C43AB">
        <w:rPr>
          <w:rFonts w:eastAsia="Arial" w:cs="Arial"/>
        </w:rPr>
        <w:t xml:space="preserve">the </w:t>
      </w:r>
      <w:r w:rsidR="000C43AB" w:rsidRPr="008764A3">
        <w:rPr>
          <w:rFonts w:eastAsia="Arial" w:cs="Arial"/>
        </w:rPr>
        <w:t>maturity of the technology, construction lead times, operating characteristics, financial requirements along with cost uncertainties, environmental impacts, safety of construction and operation, and resource availability</w:t>
      </w:r>
      <w:r w:rsidR="00CA47A4">
        <w:rPr>
          <w:rFonts w:eastAsia="Arial" w:cs="Arial"/>
        </w:rPr>
        <w:t>;</w:t>
      </w:r>
    </w:p>
    <w:p w14:paraId="79D536E8" w14:textId="6696E1FC" w:rsidR="006D199F" w:rsidRPr="008764A3" w:rsidRDefault="006D199F" w:rsidP="006D199F">
      <w:pPr>
        <w:numPr>
          <w:ilvl w:val="0"/>
          <w:numId w:val="33"/>
        </w:numPr>
        <w:contextualSpacing/>
        <w:rPr>
          <w:rFonts w:eastAsia="Arial" w:cs="Arial"/>
        </w:rPr>
      </w:pPr>
      <w:r w:rsidRPr="008764A3">
        <w:rPr>
          <w:rFonts w:eastAsia="Arial" w:cs="Arial"/>
        </w:rPr>
        <w:t xml:space="preserve">Performs a secondary screening analysis of the options that pass the preliminary screening </w:t>
      </w:r>
      <w:r w:rsidR="00CA47A4">
        <w:rPr>
          <w:rFonts w:eastAsia="Arial" w:cs="Arial"/>
        </w:rPr>
        <w:t xml:space="preserve">based on scalability, repeatability, site requirements, fuel availability, and environmental characteristics followed by </w:t>
      </w:r>
      <w:r w:rsidR="00CA47A4" w:rsidRPr="008764A3">
        <w:rPr>
          <w:rFonts w:eastAsia="Arial" w:cs="Arial"/>
        </w:rPr>
        <w:t>a Levelized Cost of Energy (</w:t>
      </w:r>
      <w:r w:rsidR="00CA47A4">
        <w:rPr>
          <w:rFonts w:eastAsia="Arial" w:cs="Arial"/>
        </w:rPr>
        <w:t>“</w:t>
      </w:r>
      <w:r w:rsidR="00CA47A4" w:rsidRPr="008764A3">
        <w:rPr>
          <w:rFonts w:eastAsia="Arial" w:cs="Arial"/>
        </w:rPr>
        <w:t>LCOE</w:t>
      </w:r>
      <w:r w:rsidR="00CA47A4">
        <w:rPr>
          <w:rFonts w:eastAsia="Arial" w:cs="Arial"/>
        </w:rPr>
        <w:t>”</w:t>
      </w:r>
      <w:r w:rsidR="00CA47A4" w:rsidRPr="008764A3">
        <w:rPr>
          <w:rFonts w:eastAsia="Arial" w:cs="Arial"/>
        </w:rPr>
        <w:t>) economic comparison</w:t>
      </w:r>
      <w:r>
        <w:rPr>
          <w:rFonts w:eastAsia="Arial" w:cs="Arial"/>
        </w:rPr>
        <w:t>;</w:t>
      </w:r>
      <w:r w:rsidR="00CA47A4">
        <w:rPr>
          <w:rFonts w:eastAsia="Arial" w:cs="Arial"/>
        </w:rPr>
        <w:t xml:space="preserve"> and</w:t>
      </w:r>
    </w:p>
    <w:p w14:paraId="6ED9B527" w14:textId="1EE1F3E0" w:rsidR="006D199F" w:rsidRPr="008764A3" w:rsidRDefault="006D199F" w:rsidP="006D199F">
      <w:pPr>
        <w:numPr>
          <w:ilvl w:val="0"/>
          <w:numId w:val="33"/>
        </w:numPr>
        <w:rPr>
          <w:rFonts w:eastAsia="Arial" w:cs="Arial"/>
        </w:rPr>
      </w:pPr>
      <w:r w:rsidRPr="008764A3">
        <w:rPr>
          <w:rFonts w:eastAsia="Arial" w:cs="Arial"/>
        </w:rPr>
        <w:t>Identifies the screened list of technologies to be recommended as expansion options</w:t>
      </w:r>
      <w:r>
        <w:rPr>
          <w:rFonts w:eastAsia="Arial" w:cs="Arial"/>
        </w:rPr>
        <w:t>.</w:t>
      </w:r>
    </w:p>
    <w:p w14:paraId="07E17898" w14:textId="79B31B6C" w:rsidR="00AA3DF2" w:rsidRPr="00F72D93" w:rsidRDefault="00AA3DF2" w:rsidP="00A7180F">
      <w:pPr>
        <w:pStyle w:val="Heading3"/>
      </w:pPr>
      <w:r w:rsidRPr="00F72D93">
        <w:t>Preliminary Screening</w:t>
      </w:r>
    </w:p>
    <w:p w14:paraId="567C5DA5" w14:textId="6C7DF8B9" w:rsidR="006D199F" w:rsidRPr="008764A3" w:rsidRDefault="006D199F" w:rsidP="006D199F">
      <w:pPr>
        <w:rPr>
          <w:rFonts w:eastAsia="Arial" w:cs="Arial"/>
        </w:rPr>
      </w:pPr>
      <w:r w:rsidRPr="008764A3">
        <w:rPr>
          <w:rFonts w:eastAsia="Arial" w:cs="Arial"/>
        </w:rPr>
        <w:t>The preliminary screening process identifies numerous technologies for strategic assessment</w:t>
      </w:r>
      <w:r w:rsidR="00FA6CA4">
        <w:rPr>
          <w:rFonts w:eastAsia="Arial" w:cs="Arial"/>
        </w:rPr>
        <w:t xml:space="preserve">, which </w:t>
      </w:r>
      <w:r w:rsidRPr="008764A3">
        <w:rPr>
          <w:rFonts w:eastAsia="Arial" w:cs="Arial"/>
        </w:rPr>
        <w:t xml:space="preserve">are listed in </w:t>
      </w:r>
      <w:r w:rsidR="00A87D92">
        <w:rPr>
          <w:rFonts w:eastAsia="Arial" w:cs="Arial"/>
        </w:rPr>
        <w:fldChar w:fldCharType="begin"/>
      </w:r>
      <w:r w:rsidR="00A87D92">
        <w:rPr>
          <w:rFonts w:eastAsia="Arial" w:cs="Arial"/>
        </w:rPr>
        <w:instrText xml:space="preserve"> REF _Ref534383201 \n \h </w:instrText>
      </w:r>
      <w:r w:rsidR="00A87D92">
        <w:rPr>
          <w:rFonts w:eastAsia="Arial" w:cs="Arial"/>
        </w:rPr>
      </w:r>
      <w:r w:rsidR="00A87D92">
        <w:rPr>
          <w:rFonts w:eastAsia="Arial" w:cs="Arial"/>
        </w:rPr>
        <w:fldChar w:fldCharType="separate"/>
      </w:r>
      <w:r w:rsidR="00F33DA2">
        <w:rPr>
          <w:rFonts w:eastAsia="Arial" w:cs="Arial"/>
        </w:rPr>
        <w:t>ATTACHMENT B</w:t>
      </w:r>
      <w:r w:rsidR="00A87D92">
        <w:rPr>
          <w:rFonts w:eastAsia="Arial" w:cs="Arial"/>
        </w:rPr>
        <w:fldChar w:fldCharType="end"/>
      </w:r>
      <w:r>
        <w:rPr>
          <w:rFonts w:eastAsia="Arial" w:cs="Arial"/>
        </w:rPr>
        <w:t xml:space="preserve">, </w:t>
      </w:r>
      <w:r w:rsidR="00A87D92">
        <w:rPr>
          <w:rFonts w:eastAsia="Arial" w:cs="Arial"/>
        </w:rPr>
        <w:fldChar w:fldCharType="begin"/>
      </w:r>
      <w:r w:rsidR="00A87D92">
        <w:rPr>
          <w:rFonts w:eastAsia="Arial" w:cs="Arial"/>
        </w:rPr>
        <w:instrText xml:space="preserve"> REF _Ref532999651 \h </w:instrText>
      </w:r>
      <w:r w:rsidR="00A87D92">
        <w:rPr>
          <w:rFonts w:eastAsia="Arial" w:cs="Arial"/>
        </w:rPr>
      </w:r>
      <w:r w:rsidR="00A87D92">
        <w:rPr>
          <w:rFonts w:eastAsia="Arial" w:cs="Arial"/>
        </w:rPr>
        <w:fldChar w:fldCharType="separate"/>
      </w:r>
      <w:r w:rsidR="00F33DA2">
        <w:t>Table B-</w:t>
      </w:r>
      <w:r w:rsidR="00F33DA2">
        <w:rPr>
          <w:noProof/>
        </w:rPr>
        <w:t>1</w:t>
      </w:r>
      <w:r w:rsidR="00A87D92">
        <w:rPr>
          <w:rFonts w:eastAsia="Arial" w:cs="Arial"/>
        </w:rPr>
        <w:fldChar w:fldCharType="end"/>
      </w:r>
      <w:r>
        <w:rPr>
          <w:rFonts w:eastAsia="Arial" w:cs="Arial"/>
        </w:rPr>
        <w:t>.</w:t>
      </w:r>
      <w:r w:rsidRPr="008764A3">
        <w:rPr>
          <w:rFonts w:eastAsia="Arial" w:cs="Arial"/>
        </w:rPr>
        <w:t xml:space="preserve"> This strategic and qualitative assessment considers the </w:t>
      </w:r>
      <w:r w:rsidR="000C43AB" w:rsidRPr="008764A3">
        <w:rPr>
          <w:rFonts w:eastAsia="Arial" w:cs="Arial"/>
        </w:rPr>
        <w:t>maturity of the technology, construction lead times, operating characteristics, financial requirements along with cost uncertainties, environmental impacts, safety of construction and operation, and resource availability</w:t>
      </w:r>
      <w:r w:rsidRPr="008764A3">
        <w:rPr>
          <w:rFonts w:eastAsia="Arial" w:cs="Arial"/>
        </w:rPr>
        <w:t>.</w:t>
      </w:r>
    </w:p>
    <w:p w14:paraId="319E34F2" w14:textId="5F439442" w:rsidR="00AA3DF2" w:rsidRPr="004E5D62" w:rsidRDefault="006D199F" w:rsidP="006D199F">
      <w:pPr>
        <w:rPr>
          <w:rFonts w:eastAsia="Times New Roman" w:cs="Arial"/>
        </w:rPr>
      </w:pPr>
      <w:r w:rsidRPr="008764A3">
        <w:rPr>
          <w:rFonts w:eastAsia="Arial" w:cs="Arial"/>
        </w:rPr>
        <w:t xml:space="preserve">Many technologies from the initial list did not pass the preliminary screening due to their limited applicability to the territory (e.g., Ocean Thermal Generation) or their early stage of development (e.g., magnetohydrodynamics). The results of the preliminary screening are listed in </w:t>
      </w:r>
      <w:r w:rsidR="00A87D92">
        <w:rPr>
          <w:rFonts w:eastAsia="Arial" w:cs="Arial"/>
        </w:rPr>
        <w:fldChar w:fldCharType="begin"/>
      </w:r>
      <w:r w:rsidR="00A87D92">
        <w:rPr>
          <w:rFonts w:eastAsia="Arial" w:cs="Arial"/>
        </w:rPr>
        <w:instrText xml:space="preserve"> REF _Ref534383201 \n \h </w:instrText>
      </w:r>
      <w:r w:rsidR="00A87D92">
        <w:rPr>
          <w:rFonts w:eastAsia="Arial" w:cs="Arial"/>
        </w:rPr>
      </w:r>
      <w:r w:rsidR="00A87D92">
        <w:rPr>
          <w:rFonts w:eastAsia="Arial" w:cs="Arial"/>
        </w:rPr>
        <w:fldChar w:fldCharType="separate"/>
      </w:r>
      <w:r w:rsidR="00F33DA2">
        <w:rPr>
          <w:rFonts w:eastAsia="Arial" w:cs="Arial"/>
        </w:rPr>
        <w:t>ATTACHMENT B</w:t>
      </w:r>
      <w:r w:rsidR="00A87D92">
        <w:rPr>
          <w:rFonts w:eastAsia="Arial" w:cs="Arial"/>
        </w:rPr>
        <w:fldChar w:fldCharType="end"/>
      </w:r>
      <w:r>
        <w:rPr>
          <w:rFonts w:eastAsia="Arial" w:cs="Arial"/>
        </w:rPr>
        <w:t xml:space="preserve">, </w:t>
      </w:r>
      <w:r w:rsidR="00A87D92">
        <w:rPr>
          <w:rFonts w:eastAsia="Arial" w:cs="Arial"/>
        </w:rPr>
        <w:fldChar w:fldCharType="begin"/>
      </w:r>
      <w:r w:rsidR="00A87D92">
        <w:rPr>
          <w:rFonts w:eastAsia="Arial" w:cs="Arial"/>
        </w:rPr>
        <w:instrText xml:space="preserve"> REF _Ref535404130 \h </w:instrText>
      </w:r>
      <w:r w:rsidR="00A87D92">
        <w:rPr>
          <w:rFonts w:eastAsia="Arial" w:cs="Arial"/>
        </w:rPr>
      </w:r>
      <w:r w:rsidR="00A87D92">
        <w:rPr>
          <w:rFonts w:eastAsia="Arial" w:cs="Arial"/>
        </w:rPr>
        <w:fldChar w:fldCharType="separate"/>
      </w:r>
      <w:r w:rsidR="00F33DA2">
        <w:t>Table B-</w:t>
      </w:r>
      <w:r w:rsidR="00F33DA2">
        <w:rPr>
          <w:noProof/>
        </w:rPr>
        <w:t>2</w:t>
      </w:r>
      <w:r w:rsidR="00A87D92">
        <w:rPr>
          <w:rFonts w:eastAsia="Arial" w:cs="Arial"/>
        </w:rPr>
        <w:fldChar w:fldCharType="end"/>
      </w:r>
      <w:r w:rsidRPr="008764A3">
        <w:rPr>
          <w:rFonts w:eastAsia="Arial" w:cs="Arial"/>
        </w:rPr>
        <w:t>.</w:t>
      </w:r>
    </w:p>
    <w:p w14:paraId="0A9C434E" w14:textId="77777777" w:rsidR="00F51CCB" w:rsidRPr="00F72D93" w:rsidRDefault="00F51CCB" w:rsidP="00F51CCB">
      <w:pPr>
        <w:pStyle w:val="Heading3"/>
      </w:pPr>
      <w:r>
        <w:t>Secondary</w:t>
      </w:r>
      <w:r w:rsidRPr="00F72D93">
        <w:t xml:space="preserve"> Screening</w:t>
      </w:r>
    </w:p>
    <w:p w14:paraId="0E355B42" w14:textId="0570FB86" w:rsidR="00F51CCB" w:rsidRDefault="00F51CCB" w:rsidP="00F51CCB">
      <w:pPr>
        <w:rPr>
          <w:rFonts w:eastAsia="Arial" w:cs="Arial"/>
        </w:rPr>
      </w:pPr>
      <w:r>
        <w:rPr>
          <w:rFonts w:eastAsia="Arial" w:cs="Arial"/>
        </w:rPr>
        <w:t>T</w:t>
      </w:r>
      <w:r w:rsidRPr="008764A3">
        <w:rPr>
          <w:rFonts w:eastAsia="Arial" w:cs="Arial"/>
        </w:rPr>
        <w:t xml:space="preserve">echnology options that pass the </w:t>
      </w:r>
      <w:r w:rsidR="002376DD">
        <w:rPr>
          <w:rFonts w:eastAsia="Arial" w:cs="Arial"/>
        </w:rPr>
        <w:t>preliminary</w:t>
      </w:r>
      <w:r w:rsidR="002376DD" w:rsidRPr="008764A3">
        <w:rPr>
          <w:rFonts w:eastAsia="Arial" w:cs="Arial"/>
        </w:rPr>
        <w:t xml:space="preserve"> </w:t>
      </w:r>
      <w:r w:rsidRPr="008764A3">
        <w:rPr>
          <w:rFonts w:eastAsia="Arial" w:cs="Arial"/>
        </w:rPr>
        <w:t>screening are then retained for a secondary screening</w:t>
      </w:r>
      <w:r>
        <w:rPr>
          <w:rFonts w:eastAsia="Arial" w:cs="Arial"/>
        </w:rPr>
        <w:t xml:space="preserve">. These options are listed in </w:t>
      </w:r>
      <w:r>
        <w:rPr>
          <w:rFonts w:eastAsia="Arial" w:cs="Arial"/>
        </w:rPr>
        <w:fldChar w:fldCharType="begin"/>
      </w:r>
      <w:r>
        <w:rPr>
          <w:rFonts w:eastAsia="Arial" w:cs="Arial"/>
        </w:rPr>
        <w:instrText xml:space="preserve"> REF _Ref534383201 \n \h </w:instrText>
      </w:r>
      <w:r>
        <w:rPr>
          <w:rFonts w:eastAsia="Arial" w:cs="Arial"/>
        </w:rPr>
      </w:r>
      <w:r>
        <w:rPr>
          <w:rFonts w:eastAsia="Arial" w:cs="Arial"/>
        </w:rPr>
        <w:fldChar w:fldCharType="separate"/>
      </w:r>
      <w:r w:rsidR="00F33DA2">
        <w:rPr>
          <w:rFonts w:eastAsia="Arial" w:cs="Arial"/>
        </w:rPr>
        <w:t>ATTACHMENT B</w:t>
      </w:r>
      <w:r>
        <w:rPr>
          <w:rFonts w:eastAsia="Arial" w:cs="Arial"/>
        </w:rPr>
        <w:fldChar w:fldCharType="end"/>
      </w:r>
      <w:r>
        <w:rPr>
          <w:rFonts w:eastAsia="Arial" w:cs="Arial"/>
        </w:rPr>
        <w:t xml:space="preserve">, </w:t>
      </w:r>
      <w:r>
        <w:rPr>
          <w:rFonts w:eastAsia="Arial" w:cs="Arial"/>
        </w:rPr>
        <w:fldChar w:fldCharType="begin"/>
      </w:r>
      <w:r>
        <w:rPr>
          <w:rFonts w:eastAsia="Arial" w:cs="Arial"/>
        </w:rPr>
        <w:instrText xml:space="preserve"> REF _Ref532999679 \h </w:instrText>
      </w:r>
      <w:r>
        <w:rPr>
          <w:rFonts w:eastAsia="Arial" w:cs="Arial"/>
        </w:rPr>
      </w:r>
      <w:r>
        <w:rPr>
          <w:rFonts w:eastAsia="Arial" w:cs="Arial"/>
        </w:rPr>
        <w:fldChar w:fldCharType="separate"/>
      </w:r>
      <w:r w:rsidR="00F33DA2">
        <w:t>Table B-</w:t>
      </w:r>
      <w:r w:rsidR="00F33DA2">
        <w:rPr>
          <w:noProof/>
        </w:rPr>
        <w:t>3</w:t>
      </w:r>
      <w:r>
        <w:rPr>
          <w:rFonts w:eastAsia="Arial" w:cs="Arial"/>
        </w:rPr>
        <w:fldChar w:fldCharType="end"/>
      </w:r>
      <w:r w:rsidRPr="008764A3">
        <w:rPr>
          <w:rFonts w:eastAsia="Arial" w:cs="Arial"/>
        </w:rPr>
        <w:t>.</w:t>
      </w:r>
      <w:r>
        <w:rPr>
          <w:rFonts w:eastAsia="Arial" w:cs="Arial"/>
        </w:rPr>
        <w:t xml:space="preserve"> Generic candidate options are identified using qualitative factors such as </w:t>
      </w:r>
      <w:r w:rsidRPr="008764A3">
        <w:rPr>
          <w:rFonts w:eastAsia="Arial" w:cs="Arial"/>
        </w:rPr>
        <w:t>scalability, repeatability, site requirements, fuel availability, and environmental characteristics.</w:t>
      </w:r>
      <w:r>
        <w:rPr>
          <w:rFonts w:eastAsia="Arial" w:cs="Arial"/>
        </w:rPr>
        <w:t xml:space="preserve"> If a technology has potentially desirable economic, environmental, and other characteristics but only under unique circumstances</w:t>
      </w:r>
      <w:r w:rsidR="00724E41">
        <w:rPr>
          <w:rFonts w:eastAsia="Arial" w:cs="Arial"/>
        </w:rPr>
        <w:t>,</w:t>
      </w:r>
      <w:r>
        <w:rPr>
          <w:rFonts w:eastAsia="Arial" w:cs="Arial"/>
        </w:rPr>
        <w:t xml:space="preserve"> or if it is not persistently scalable and repeatable, then it will not become a generic candidate nor receive an LCOE evaluation. Technologies that have desirable characteristics under unique application settings, such as specific customer </w:t>
      </w:r>
      <w:r w:rsidRPr="008764A3">
        <w:rPr>
          <w:rFonts w:eastAsia="Arial" w:cs="Arial"/>
        </w:rPr>
        <w:t>requirements or geographic requirements</w:t>
      </w:r>
      <w:r>
        <w:rPr>
          <w:rFonts w:eastAsia="Arial" w:cs="Arial"/>
        </w:rPr>
        <w:t>,</w:t>
      </w:r>
      <w:r w:rsidRPr="008764A3">
        <w:rPr>
          <w:rFonts w:eastAsia="Arial" w:cs="Arial"/>
        </w:rPr>
        <w:t xml:space="preserve"> are retained separately to be evaluated for future projects should the right set of circumstances present themselves.</w:t>
      </w:r>
    </w:p>
    <w:p w14:paraId="7F37C815" w14:textId="737BA534" w:rsidR="00F51CCB" w:rsidRPr="008764A3" w:rsidRDefault="00F51CCB" w:rsidP="00F51CCB">
      <w:pPr>
        <w:rPr>
          <w:rFonts w:eastAsia="Arial" w:cs="Arial"/>
        </w:rPr>
      </w:pPr>
      <w:bookmarkStart w:id="54" w:name="_Hlk535945575"/>
      <w:r>
        <w:rPr>
          <w:rFonts w:eastAsia="Arial" w:cs="Arial"/>
        </w:rPr>
        <w:t xml:space="preserve">Generic candidates identified will undergo additional screening </w:t>
      </w:r>
      <w:r w:rsidRPr="008764A3">
        <w:rPr>
          <w:rFonts w:eastAsia="Arial" w:cs="Arial"/>
        </w:rPr>
        <w:t xml:space="preserve">using an LCOE analysis. </w:t>
      </w:r>
      <w:bookmarkEnd w:id="54"/>
      <w:r w:rsidRPr="008764A3">
        <w:rPr>
          <w:rFonts w:eastAsia="Arial" w:cs="Arial"/>
        </w:rPr>
        <w:t xml:space="preserve">An LCOE analysis is a common industry method of using screening-level costs to provide an indication of the economic viability of one generating technology option when compared to others. LCOE models </w:t>
      </w:r>
      <w:r>
        <w:rPr>
          <w:rFonts w:eastAsia="Arial" w:cs="Arial"/>
        </w:rPr>
        <w:t>include both</w:t>
      </w:r>
      <w:r w:rsidRPr="008764A3">
        <w:rPr>
          <w:rFonts w:eastAsia="Arial" w:cs="Arial"/>
        </w:rPr>
        <w:t xml:space="preserve"> capital and operating costs </w:t>
      </w:r>
      <w:r>
        <w:rPr>
          <w:rFonts w:eastAsia="Arial" w:cs="Arial"/>
        </w:rPr>
        <w:t>relative to the energy produced. The results of the LCOE analysis can then be used to perform a relative comparison of generating units with different operational profiles.</w:t>
      </w:r>
    </w:p>
    <w:p w14:paraId="36FEBF83" w14:textId="697DB93E" w:rsidR="00E8293A" w:rsidRPr="00F72D93" w:rsidRDefault="00E8293A" w:rsidP="00E8293A">
      <w:pPr>
        <w:pStyle w:val="Heading3"/>
      </w:pPr>
      <w:r>
        <w:t>Expansion Planning Process</w:t>
      </w:r>
    </w:p>
    <w:p w14:paraId="60FF0E89" w14:textId="13E3BE7A" w:rsidR="00E8293A" w:rsidRPr="004E5D62" w:rsidRDefault="00F51CCB" w:rsidP="00E8293A">
      <w:pPr>
        <w:rPr>
          <w:rFonts w:eastAsia="Times New Roman" w:cs="Arial"/>
        </w:rPr>
      </w:pPr>
      <w:r w:rsidRPr="00EA598C">
        <w:rPr>
          <w:rFonts w:eastAsia="Arial" w:cs="Arial"/>
        </w:rPr>
        <w:t xml:space="preserve">Candidate technology options retained after the </w:t>
      </w:r>
      <w:r>
        <w:rPr>
          <w:rFonts w:eastAsia="Arial" w:cs="Arial"/>
        </w:rPr>
        <w:t>secondary</w:t>
      </w:r>
      <w:r w:rsidRPr="00EA598C">
        <w:rPr>
          <w:rFonts w:eastAsia="Arial" w:cs="Arial"/>
        </w:rPr>
        <w:t xml:space="preserve"> screening are then options for the expansion planning process.</w:t>
      </w:r>
      <w:r>
        <w:rPr>
          <w:rFonts w:eastAsia="Arial" w:cs="Arial"/>
        </w:rPr>
        <w:t xml:space="preserve"> These options are shown in </w:t>
      </w:r>
      <w:r>
        <w:rPr>
          <w:rFonts w:eastAsia="Arial" w:cs="Arial"/>
        </w:rPr>
        <w:fldChar w:fldCharType="begin"/>
      </w:r>
      <w:r>
        <w:rPr>
          <w:rFonts w:eastAsia="Arial" w:cs="Arial"/>
        </w:rPr>
        <w:instrText xml:space="preserve"> REF _Ref534383201 \n \h </w:instrText>
      </w:r>
      <w:r>
        <w:rPr>
          <w:rFonts w:eastAsia="Arial" w:cs="Arial"/>
        </w:rPr>
      </w:r>
      <w:r>
        <w:rPr>
          <w:rFonts w:eastAsia="Arial" w:cs="Arial"/>
        </w:rPr>
        <w:fldChar w:fldCharType="separate"/>
      </w:r>
      <w:r w:rsidR="00F33DA2">
        <w:rPr>
          <w:rFonts w:eastAsia="Arial" w:cs="Arial"/>
        </w:rPr>
        <w:t>ATTACHMENT B</w:t>
      </w:r>
      <w:r>
        <w:rPr>
          <w:rFonts w:eastAsia="Arial" w:cs="Arial"/>
        </w:rPr>
        <w:fldChar w:fldCharType="end"/>
      </w:r>
      <w:r>
        <w:rPr>
          <w:rFonts w:eastAsia="Arial" w:cs="Arial"/>
        </w:rPr>
        <w:t>,</w:t>
      </w:r>
      <w:r w:rsidR="0049140E">
        <w:rPr>
          <w:rFonts w:eastAsia="Arial" w:cs="Arial"/>
        </w:rPr>
        <w:t xml:space="preserve"> </w:t>
      </w:r>
      <w:r w:rsidR="0049140E">
        <w:rPr>
          <w:rFonts w:eastAsia="Arial" w:cs="Arial"/>
        </w:rPr>
        <w:fldChar w:fldCharType="begin"/>
      </w:r>
      <w:r w:rsidR="0049140E">
        <w:rPr>
          <w:rFonts w:eastAsia="Arial" w:cs="Arial"/>
        </w:rPr>
        <w:instrText xml:space="preserve"> REF _Ref536021960 \h </w:instrText>
      </w:r>
      <w:r w:rsidR="0049140E">
        <w:rPr>
          <w:rFonts w:eastAsia="Arial" w:cs="Arial"/>
        </w:rPr>
      </w:r>
      <w:r w:rsidR="0049140E">
        <w:rPr>
          <w:rFonts w:eastAsia="Arial" w:cs="Arial"/>
        </w:rPr>
        <w:fldChar w:fldCharType="separate"/>
      </w:r>
      <w:r w:rsidR="0049140E">
        <w:t>Table B-</w:t>
      </w:r>
      <w:r w:rsidR="0049140E">
        <w:rPr>
          <w:noProof/>
        </w:rPr>
        <w:t>4</w:t>
      </w:r>
      <w:r w:rsidR="0049140E">
        <w:rPr>
          <w:rFonts w:eastAsia="Arial" w:cs="Arial"/>
        </w:rPr>
        <w:fldChar w:fldCharType="end"/>
      </w:r>
      <w:r>
        <w:rPr>
          <w:rFonts w:eastAsia="Arial" w:cs="Arial"/>
        </w:rPr>
        <w:t xml:space="preserve">. These options are further screened using a busbar analysis to identify the economical options over a range of capacity factors. </w:t>
      </w:r>
      <w:r>
        <w:t xml:space="preserve">A busbar curve is shown in Figure 4.3.2 in the IRP Main Document Reference Tables section of Technical Appendix Volume 2. </w:t>
      </w:r>
      <w:r w:rsidR="00C5551D" w:rsidRPr="004E5D62">
        <w:rPr>
          <w:rFonts w:eastAsia="Times New Roman" w:cs="Arial"/>
        </w:rPr>
        <w:t xml:space="preserve">Intermittent resources, such as solar and wind, were not included as selectable technologies for the expansion planning model but instead were reflected in the model as planned and committed resources. </w:t>
      </w:r>
      <w:r w:rsidR="002A75B4" w:rsidRPr="004E5D62">
        <w:rPr>
          <w:rFonts w:eastAsia="Times New Roman" w:cs="Arial"/>
        </w:rPr>
        <w:t xml:space="preserve">Such planned resources include the Company’s recommended addition of 1,000 MW of renewable resources. </w:t>
      </w:r>
      <w:r w:rsidR="00C5551D" w:rsidRPr="004E5D62">
        <w:rPr>
          <w:rFonts w:eastAsia="Times New Roman" w:cs="Arial"/>
        </w:rPr>
        <w:t xml:space="preserve">It is important to note that recent and proposed renewable additions are selected based on their ability to provide projected energy cost savings to customers, not to specifically meet a capacity need. </w:t>
      </w:r>
      <w:r w:rsidR="006D199F">
        <w:rPr>
          <w:rFonts w:eastAsia="Arial" w:cs="Arial"/>
        </w:rPr>
        <w:t>Capacity</w:t>
      </w:r>
      <w:r w:rsidR="006D199F" w:rsidRPr="00EC0106">
        <w:rPr>
          <w:rFonts w:eastAsia="Arial" w:cs="Arial"/>
        </w:rPr>
        <w:t xml:space="preserve"> additions selected in this </w:t>
      </w:r>
      <w:r w:rsidR="006D199F">
        <w:rPr>
          <w:rFonts w:eastAsia="Arial" w:cs="Arial"/>
        </w:rPr>
        <w:t>process</w:t>
      </w:r>
      <w:r w:rsidR="006D199F" w:rsidRPr="00EC0106">
        <w:rPr>
          <w:rFonts w:eastAsia="Arial" w:cs="Arial"/>
        </w:rPr>
        <w:t xml:space="preserve"> are not determinative of the resources that will ultimately be procured to meet an identified capacity need. </w:t>
      </w:r>
      <w:r w:rsidR="006D199F">
        <w:rPr>
          <w:rFonts w:eastAsia="Arial" w:cs="Arial"/>
        </w:rPr>
        <w:t xml:space="preserve">Rather they are an indicator of the timing and type of resource that may be required to meet a capacity need. </w:t>
      </w:r>
      <w:r w:rsidR="006D199F" w:rsidRPr="00EC0106">
        <w:rPr>
          <w:rFonts w:eastAsia="Arial" w:cs="Arial"/>
        </w:rPr>
        <w:t xml:space="preserve">Any </w:t>
      </w:r>
      <w:r w:rsidR="006D199F">
        <w:rPr>
          <w:rFonts w:eastAsia="Arial" w:cs="Arial"/>
        </w:rPr>
        <w:t xml:space="preserve">identified </w:t>
      </w:r>
      <w:r w:rsidR="006D199F" w:rsidRPr="00EC0106">
        <w:rPr>
          <w:rFonts w:eastAsia="Arial" w:cs="Arial"/>
        </w:rPr>
        <w:t>capacity need will be met in accordance with the Commission’s RFP rules.</w:t>
      </w:r>
    </w:p>
    <w:p w14:paraId="118A58EC" w14:textId="77777777" w:rsidR="002D5515" w:rsidRPr="002D5515" w:rsidRDefault="002D5515" w:rsidP="002D5515">
      <w:pPr>
        <w:pStyle w:val="Heading4"/>
      </w:pPr>
      <w:r w:rsidRPr="002D5515">
        <w:t>Planning Scenario Technologies</w:t>
      </w:r>
    </w:p>
    <w:p w14:paraId="3430CF81" w14:textId="2EAE82B6" w:rsidR="003103C2" w:rsidRDefault="006D199F" w:rsidP="006549EE">
      <w:pPr>
        <w:rPr>
          <w:rFonts w:eastAsia="Arial" w:cs="Arial"/>
        </w:rPr>
      </w:pPr>
      <w:bookmarkStart w:id="55" w:name="_Hlk535396409"/>
      <w:r>
        <w:rPr>
          <w:rFonts w:eastAsia="Arial" w:cs="Arial"/>
        </w:rPr>
        <w:t>Through the comprehensive planning process</w:t>
      </w:r>
      <w:r w:rsidR="008539CA">
        <w:rPr>
          <w:rFonts w:eastAsia="Arial" w:cs="Arial"/>
        </w:rPr>
        <w:t>,</w:t>
      </w:r>
      <w:r>
        <w:rPr>
          <w:rFonts w:eastAsia="Arial" w:cs="Arial"/>
        </w:rPr>
        <w:t xml:space="preserve"> modified or advanced candidate technology options may be required to meet capacity needs in certain future planning scenarios. However, the technologies required in those future scenarios may not be readily available at this time. </w:t>
      </w:r>
      <w:r w:rsidR="00FA6CA4">
        <w:rPr>
          <w:rFonts w:eastAsia="Arial" w:cs="Arial"/>
        </w:rPr>
        <w:t>E</w:t>
      </w:r>
      <w:r>
        <w:rPr>
          <w:rFonts w:eastAsia="Arial" w:cs="Arial"/>
        </w:rPr>
        <w:t>stimates on cost and performance for these future technologies have been included in the expansion planning process to fulfill scenario requirements</w:t>
      </w:r>
      <w:r w:rsidR="00C5551D">
        <w:rPr>
          <w:rFonts w:eastAsia="Arial" w:cs="Arial"/>
        </w:rPr>
        <w:t>.</w:t>
      </w:r>
    </w:p>
    <w:p w14:paraId="247E623B" w14:textId="128957A1" w:rsidR="00633E3B" w:rsidRDefault="00872018" w:rsidP="00A7180F">
      <w:pPr>
        <w:pStyle w:val="Heading2"/>
      </w:pPr>
      <w:bookmarkStart w:id="56" w:name="_Toc536209126"/>
      <w:bookmarkEnd w:id="53"/>
      <w:bookmarkEnd w:id="55"/>
      <w:r>
        <w:t>Demand-</w:t>
      </w:r>
      <w:r w:rsidR="00633E3B">
        <w:t>Side</w:t>
      </w:r>
      <w:r>
        <w:t xml:space="preserve"> </w:t>
      </w:r>
      <w:r w:rsidR="00D41C03">
        <w:t>Assessment</w:t>
      </w:r>
      <w:r w:rsidR="0083073E">
        <w:t>s</w:t>
      </w:r>
      <w:bookmarkEnd w:id="56"/>
    </w:p>
    <w:p w14:paraId="4FF6F299" w14:textId="76149B25" w:rsidR="00633E3B" w:rsidRPr="00633E3B" w:rsidRDefault="00633E3B" w:rsidP="00633E3B">
      <w:r>
        <w:t>Georgia Power identifies, screens, and assesses potential demand-side programs applicable to its service territory for inclusion in the IRP. This process uses a marginal cost approach to compare the costs with the benefit</w:t>
      </w:r>
      <w:r w:rsidR="00D41C03">
        <w:t xml:space="preserve">s of each demand-side program. </w:t>
      </w:r>
      <w:r>
        <w:t>Generation capacity and energy, transmission, distribution, and other costs and benefits are evaluated. The model used to estimate marginal energy cost</w:t>
      </w:r>
      <w:r w:rsidR="003F7D7E">
        <w:t xml:space="preserve"> (</w:t>
      </w:r>
      <w:r w:rsidR="00D41C03">
        <w:t>AURORA</w:t>
      </w:r>
      <w:r w:rsidR="003F7D7E">
        <w:t xml:space="preserve">) </w:t>
      </w:r>
      <w:r>
        <w:t xml:space="preserve">is the source of the marginal energy cost used in the </w:t>
      </w:r>
      <w:r w:rsidR="008922CA">
        <w:rPr>
          <w:rFonts w:eastAsia="Arial" w:cs="Times New Roman"/>
          <w:color w:val="4D4D4D"/>
        </w:rPr>
        <w:t>Profitability Reliability Incremental Cost Evaluation Model (“</w:t>
      </w:r>
      <w:r w:rsidR="008922CA" w:rsidRPr="006D2A1C">
        <w:rPr>
          <w:rFonts w:eastAsia="Arial" w:cs="Times New Roman"/>
          <w:color w:val="4D4D4D"/>
        </w:rPr>
        <w:t>PRICEM</w:t>
      </w:r>
      <w:r w:rsidR="008922CA">
        <w:rPr>
          <w:rFonts w:eastAsia="Arial" w:cs="Times New Roman"/>
          <w:color w:val="4D4D4D"/>
        </w:rPr>
        <w:t>”)</w:t>
      </w:r>
      <w:r>
        <w:t xml:space="preserve"> to evaluate DSM programs</w:t>
      </w:r>
      <w:r w:rsidR="00D41C03">
        <w:t>. As discussed below, t</w:t>
      </w:r>
      <w:r>
        <w:t>hese same marginal costs are used extensively in supply-side evaluations associated with the IRP. Also, technology availability, market characteristics, customer acceptance, and customer response are considered in estimating the potential success, impacts, and costs of the programs. The process is described more fully in</w:t>
      </w:r>
      <w:r w:rsidR="00D41C03">
        <w:t xml:space="preserve"> </w:t>
      </w:r>
      <w:r w:rsidR="00D41C03">
        <w:fldChar w:fldCharType="begin"/>
      </w:r>
      <w:r w:rsidR="00D41C03">
        <w:instrText xml:space="preserve"> REF _Ref534642063 \n \h </w:instrText>
      </w:r>
      <w:r w:rsidR="00D41C03">
        <w:fldChar w:fldCharType="separate"/>
      </w:r>
      <w:r w:rsidR="00F33DA2">
        <w:t>CHAPTER 7</w:t>
      </w:r>
      <w:r w:rsidR="00D41C03">
        <w:fldChar w:fldCharType="end"/>
      </w:r>
      <w:r>
        <w:t>.</w:t>
      </w:r>
      <w:r w:rsidR="00E165F4">
        <w:t xml:space="preserve"> </w:t>
      </w:r>
    </w:p>
    <w:p w14:paraId="0F4ADDAA" w14:textId="69600A77" w:rsidR="00872018" w:rsidRPr="00AA3DF2" w:rsidRDefault="00872018" w:rsidP="00A7180F">
      <w:pPr>
        <w:pStyle w:val="Heading2"/>
      </w:pPr>
      <w:bookmarkStart w:id="57" w:name="_Toc536209127"/>
      <w:r>
        <w:t>Supply-Side Assessments</w:t>
      </w:r>
      <w:bookmarkEnd w:id="57"/>
      <w:r>
        <w:t xml:space="preserve"> </w:t>
      </w:r>
    </w:p>
    <w:p w14:paraId="6F5E4A07" w14:textId="4040DECC" w:rsidR="00872018" w:rsidRDefault="00872018" w:rsidP="00D41C03">
      <w:r>
        <w:t xml:space="preserve">Georgia Power </w:t>
      </w:r>
      <w:r w:rsidR="00D41C03">
        <w:t xml:space="preserve">evaluates supply-side resources for </w:t>
      </w:r>
      <w:r>
        <w:t xml:space="preserve">inclusion in the IRP. </w:t>
      </w:r>
      <w:r w:rsidR="00D41C03">
        <w:t xml:space="preserve">These evaluations, including the unit retirement studies reviewed in Technical Appendix Volume 2, use </w:t>
      </w:r>
      <w:r w:rsidR="002A7609">
        <w:t>a common set of assumptions to derive the</w:t>
      </w:r>
      <w:r w:rsidR="00D41C03">
        <w:t xml:space="preserve"> </w:t>
      </w:r>
      <w:r w:rsidR="00646638">
        <w:t>marginal cost</w:t>
      </w:r>
      <w:r w:rsidR="000750AD">
        <w:t xml:space="preserve"> used in both demand- and supply-</w:t>
      </w:r>
      <w:r w:rsidR="002A7609">
        <w:t xml:space="preserve">side assessments. These assumptions include reliability criteria, the fuel forecast, the economic forecast, and the load and energy forecasts. </w:t>
      </w:r>
      <w:r w:rsidR="00D41C03">
        <w:t>S</w:t>
      </w:r>
      <w:r>
        <w:t xml:space="preserve">upply-side resource decisions are more fully described in </w:t>
      </w:r>
      <w:r w:rsidR="009206B9">
        <w:fldChar w:fldCharType="begin"/>
      </w:r>
      <w:r w:rsidR="009206B9">
        <w:instrText xml:space="preserve"> REF _Ref531354561 \r \h </w:instrText>
      </w:r>
      <w:r w:rsidR="009206B9">
        <w:fldChar w:fldCharType="separate"/>
      </w:r>
      <w:r w:rsidR="00F33DA2">
        <w:t>CHAPTER 10</w:t>
      </w:r>
      <w:r w:rsidR="009206B9">
        <w:fldChar w:fldCharType="end"/>
      </w:r>
      <w:r w:rsidR="00EC6D51">
        <w:t>.</w:t>
      </w:r>
      <w:r w:rsidR="00E8107D">
        <w:t xml:space="preserve"> </w:t>
      </w:r>
    </w:p>
    <w:p w14:paraId="087518AC" w14:textId="255CACCF" w:rsidR="006842B4" w:rsidRDefault="00B97523" w:rsidP="00A7180F">
      <w:pPr>
        <w:pStyle w:val="Heading2"/>
        <w:rPr>
          <w:rFonts w:eastAsia="Times New Roman" w:cs="Arial"/>
        </w:rPr>
      </w:pPr>
      <w:bookmarkStart w:id="58" w:name="_Toc536209128"/>
      <w:r>
        <w:t>Expansion Planning and the Mix Process</w:t>
      </w:r>
      <w:bookmarkEnd w:id="58"/>
    </w:p>
    <w:p w14:paraId="318B603C" w14:textId="5C2F4D68" w:rsidR="00292D3C" w:rsidRPr="00292D3C" w:rsidRDefault="00292D3C" w:rsidP="006549EE">
      <w:r w:rsidRPr="00C45719">
        <w:t>In this step, the</w:t>
      </w:r>
      <w:r w:rsidR="00872018">
        <w:t xml:space="preserve"> results from the</w:t>
      </w:r>
      <w:r w:rsidRPr="00C45719">
        <w:t xml:space="preserve"> demand-</w:t>
      </w:r>
      <w:r w:rsidR="00872018">
        <w:t xml:space="preserve"> and supply-</w:t>
      </w:r>
      <w:r w:rsidRPr="00C45719">
        <w:t>side</w:t>
      </w:r>
      <w:r w:rsidR="00872018">
        <w:t xml:space="preserve"> assessments </w:t>
      </w:r>
      <w:r w:rsidRPr="00C45719">
        <w:t xml:space="preserve">are integrated with the planned and committed </w:t>
      </w:r>
      <w:r w:rsidR="007E42B1">
        <w:t xml:space="preserve">resources, including </w:t>
      </w:r>
      <w:r w:rsidRPr="00C45719">
        <w:t>renewable</w:t>
      </w:r>
      <w:r w:rsidR="007E42B1">
        <w:t>s</w:t>
      </w:r>
      <w:r>
        <w:t>.</w:t>
      </w:r>
      <w:r w:rsidRPr="00C45719">
        <w:t xml:space="preserve"> </w:t>
      </w:r>
      <w:r w:rsidR="000A5D90" w:rsidRPr="00C45719">
        <w:t xml:space="preserve">The outcome </w:t>
      </w:r>
      <w:r w:rsidRPr="00C45719">
        <w:t>of this method is a cost-effective mix of demand</w:t>
      </w:r>
      <w:r>
        <w:t>-side and supply-side resources</w:t>
      </w:r>
      <w:r w:rsidRPr="00C45719">
        <w:t>.</w:t>
      </w:r>
    </w:p>
    <w:p w14:paraId="0F402BAB" w14:textId="62C79ECE" w:rsidR="006842B4" w:rsidRDefault="006842B4" w:rsidP="006549EE">
      <w:pPr>
        <w:rPr>
          <w:rFonts w:cs="Arial"/>
        </w:rPr>
      </w:pPr>
      <w:r w:rsidRPr="005E64A2">
        <w:rPr>
          <w:rFonts w:cs="Arial"/>
        </w:rPr>
        <w:t>The mix process</w:t>
      </w:r>
      <w:r>
        <w:rPr>
          <w:rFonts w:cs="Arial"/>
        </w:rPr>
        <w:t>, or expansion planning process,</w:t>
      </w:r>
      <w:r w:rsidRPr="005E64A2">
        <w:rPr>
          <w:rFonts w:cs="Arial"/>
        </w:rPr>
        <w:t xml:space="preserve"> utilizes dynamic programming techniques to </w:t>
      </w:r>
      <w:r w:rsidR="0007290C" w:rsidRPr="005E64A2">
        <w:rPr>
          <w:rFonts w:cs="Arial"/>
        </w:rPr>
        <w:t xml:space="preserve">minimize the net present value </w:t>
      </w:r>
      <w:r w:rsidRPr="005E64A2">
        <w:rPr>
          <w:rFonts w:cs="Arial"/>
        </w:rPr>
        <w:t xml:space="preserve">of the revenue requirements </w:t>
      </w:r>
      <w:r>
        <w:rPr>
          <w:rFonts w:cs="Arial"/>
        </w:rPr>
        <w:t>when</w:t>
      </w:r>
      <w:r w:rsidRPr="005E64A2">
        <w:rPr>
          <w:rFonts w:cs="Arial"/>
        </w:rPr>
        <w:t xml:space="preserve"> </w:t>
      </w:r>
      <w:r>
        <w:rPr>
          <w:rFonts w:cs="Arial"/>
        </w:rPr>
        <w:t>deriving</w:t>
      </w:r>
      <w:r w:rsidRPr="005E64A2">
        <w:rPr>
          <w:rFonts w:cs="Arial"/>
        </w:rPr>
        <w:t xml:space="preserve"> the least cost expansion plan</w:t>
      </w:r>
      <w:r w:rsidR="00132DF2" w:rsidRPr="005E64A2">
        <w:rPr>
          <w:rFonts w:cs="Arial"/>
        </w:rPr>
        <w:t>.</w:t>
      </w:r>
      <w:r w:rsidR="00132DF2">
        <w:rPr>
          <w:rFonts w:cs="Arial"/>
        </w:rPr>
        <w:t xml:space="preserve"> </w:t>
      </w:r>
      <w:r w:rsidR="001A72C7">
        <w:rPr>
          <w:rFonts w:cs="Arial"/>
        </w:rPr>
        <w:t>To develop the expansion plan, t</w:t>
      </w:r>
      <w:r w:rsidR="001A72C7" w:rsidRPr="001A72C7">
        <w:rPr>
          <w:rFonts w:cs="Arial"/>
        </w:rPr>
        <w:t>he technologies that passed the detailed screening are further evaluated using</w:t>
      </w:r>
      <w:r w:rsidR="001A72C7">
        <w:rPr>
          <w:rFonts w:cs="Arial"/>
        </w:rPr>
        <w:t xml:space="preserve"> the Strategist</w:t>
      </w:r>
      <w:r w:rsidR="001A72C7" w:rsidRPr="001A72C7">
        <w:rPr>
          <w:rFonts w:cs="Arial"/>
        </w:rPr>
        <w:t xml:space="preserve"> production cost model</w:t>
      </w:r>
      <w:r w:rsidR="001A72C7">
        <w:rPr>
          <w:rFonts w:cs="Arial"/>
        </w:rPr>
        <w:t>.</w:t>
      </w:r>
      <w:r w:rsidR="001A72C7" w:rsidRPr="005E64A2">
        <w:rPr>
          <w:rFonts w:cs="Arial"/>
        </w:rPr>
        <w:t xml:space="preserve"> </w:t>
      </w:r>
      <w:r w:rsidR="009760F0" w:rsidRPr="005E64A2">
        <w:rPr>
          <w:rFonts w:cs="Arial"/>
        </w:rPr>
        <w:t xml:space="preserve">Strategist is widely used throughout the electric industry. </w:t>
      </w:r>
      <w:r w:rsidRPr="005E64A2">
        <w:rPr>
          <w:rFonts w:cs="Arial"/>
        </w:rPr>
        <w:t xml:space="preserve">Strategist employs a generation mix optimization module named PROVIEW (see </w:t>
      </w:r>
      <w:r w:rsidR="00C857AA">
        <w:rPr>
          <w:rFonts w:cs="Arial"/>
        </w:rPr>
        <w:fldChar w:fldCharType="begin"/>
      </w:r>
      <w:r w:rsidR="00C857AA">
        <w:rPr>
          <w:rFonts w:cs="Arial"/>
        </w:rPr>
        <w:instrText xml:space="preserve"> REF _Ref533152626 \n \h </w:instrText>
      </w:r>
      <w:r w:rsidR="00C857AA">
        <w:rPr>
          <w:rFonts w:cs="Arial"/>
        </w:rPr>
      </w:r>
      <w:r w:rsidR="00C857AA">
        <w:rPr>
          <w:rFonts w:cs="Arial"/>
        </w:rPr>
        <w:fldChar w:fldCharType="separate"/>
      </w:r>
      <w:r w:rsidR="00F33DA2">
        <w:rPr>
          <w:rFonts w:cs="Arial"/>
        </w:rPr>
        <w:t>ATTACHMENT A</w:t>
      </w:r>
      <w:r w:rsidR="00C857AA">
        <w:rPr>
          <w:rFonts w:cs="Arial"/>
        </w:rPr>
        <w:fldChar w:fldCharType="end"/>
      </w:r>
      <w:r w:rsidRPr="005E64A2">
        <w:rPr>
          <w:rFonts w:cs="Arial"/>
        </w:rPr>
        <w:t xml:space="preserve">). The major inputs of PROVIEW are: (1) future generating unit characteristics and capital cost; (2) the capital recovery rates necessary to recover investment cost; (3) capital cost escalation </w:t>
      </w:r>
      <w:r>
        <w:rPr>
          <w:rFonts w:cs="Arial"/>
        </w:rPr>
        <w:t>rates; and (4) a discount rate.</w:t>
      </w:r>
    </w:p>
    <w:p w14:paraId="759E9CF1" w14:textId="6A1CC805" w:rsidR="000A5D90" w:rsidRPr="002D778F" w:rsidRDefault="00F9665B" w:rsidP="000A5D90">
      <w:r>
        <w:rPr>
          <w:rFonts w:cs="Arial"/>
        </w:rPr>
        <w:t>The optimization process identifies t</w:t>
      </w:r>
      <w:r w:rsidRPr="00F9665B">
        <w:rPr>
          <w:rFonts w:cs="Arial"/>
        </w:rPr>
        <w:t xml:space="preserve">he capacity additions </w:t>
      </w:r>
      <w:r>
        <w:rPr>
          <w:rFonts w:cs="Arial"/>
        </w:rPr>
        <w:t xml:space="preserve">that </w:t>
      </w:r>
      <w:r w:rsidRPr="00F9665B">
        <w:rPr>
          <w:rFonts w:cs="Arial"/>
        </w:rPr>
        <w:t xml:space="preserve">serve as a guide for the type of capacity that is most economical in a particular timeframe with the given assumptions. The optimization process is essentially a trade-off between fixed costs and variable operating costs for the various generating unit options. </w:t>
      </w:r>
      <w:r w:rsidR="003250F5" w:rsidRPr="003250F5">
        <w:rPr>
          <w:rFonts w:eastAsia="Times New Roman" w:cs="Arial"/>
        </w:rPr>
        <w:t>The long-term plan for each of the scenario cases</w:t>
      </w:r>
      <w:r w:rsidR="0057735E">
        <w:rPr>
          <w:rFonts w:eastAsia="Times New Roman" w:cs="Arial"/>
        </w:rPr>
        <w:t xml:space="preserve">, which </w:t>
      </w:r>
      <w:r w:rsidR="00553824">
        <w:rPr>
          <w:rFonts w:eastAsia="Times New Roman" w:cs="Arial"/>
        </w:rPr>
        <w:t xml:space="preserve">is further </w:t>
      </w:r>
      <w:r w:rsidR="0057735E">
        <w:rPr>
          <w:rFonts w:eastAsia="Times New Roman" w:cs="Arial"/>
        </w:rPr>
        <w:t xml:space="preserve">described </w:t>
      </w:r>
      <w:r w:rsidR="00E20B88">
        <w:rPr>
          <w:rFonts w:eastAsia="Times New Roman" w:cs="Arial"/>
        </w:rPr>
        <w:t xml:space="preserve">in </w:t>
      </w:r>
      <w:r w:rsidR="00553824">
        <w:rPr>
          <w:rFonts w:eastAsia="Times New Roman" w:cs="Arial"/>
        </w:rPr>
        <w:t>the</w:t>
      </w:r>
      <w:r w:rsidR="009760F0">
        <w:rPr>
          <w:rFonts w:eastAsia="Times New Roman" w:cs="Arial"/>
        </w:rPr>
        <w:t xml:space="preserve"> </w:t>
      </w:r>
      <w:r w:rsidR="0057735E">
        <w:rPr>
          <w:rFonts w:eastAsia="Times New Roman" w:cs="Arial"/>
        </w:rPr>
        <w:t>Scenario Planning</w:t>
      </w:r>
      <w:r w:rsidR="00553824">
        <w:rPr>
          <w:rFonts w:eastAsia="Times New Roman" w:cs="Arial"/>
        </w:rPr>
        <w:t xml:space="preserve"> section</w:t>
      </w:r>
      <w:r w:rsidR="0057735E">
        <w:rPr>
          <w:rFonts w:eastAsia="Times New Roman" w:cs="Arial"/>
        </w:rPr>
        <w:t xml:space="preserve"> below,</w:t>
      </w:r>
      <w:r w:rsidR="003250F5" w:rsidRPr="003250F5">
        <w:rPr>
          <w:rFonts w:eastAsia="Times New Roman" w:cs="Arial"/>
        </w:rPr>
        <w:t xml:space="preserve"> varies depending on the assumptions for that case. </w:t>
      </w:r>
      <w:r w:rsidR="00A63627">
        <w:rPr>
          <w:rFonts w:eastAsia="Times New Roman" w:cs="Arial"/>
        </w:rPr>
        <w:t xml:space="preserve">In addition to modeling the planned and committed renewable resources, </w:t>
      </w:r>
      <w:r w:rsidR="003250F5" w:rsidRPr="003250F5">
        <w:rPr>
          <w:rFonts w:eastAsia="Times New Roman" w:cs="Arial"/>
        </w:rPr>
        <w:t xml:space="preserve">a mix of gas technologies (CTs and CCs) was selected </w:t>
      </w:r>
      <w:r w:rsidR="00A63627">
        <w:rPr>
          <w:rFonts w:eastAsia="Times New Roman" w:cs="Arial"/>
        </w:rPr>
        <w:t xml:space="preserve">for the scenario cases </w:t>
      </w:r>
      <w:r w:rsidR="003250F5" w:rsidRPr="003250F5">
        <w:rPr>
          <w:rFonts w:eastAsia="Times New Roman" w:cs="Arial"/>
        </w:rPr>
        <w:t>through the planning period when capacity was needed to maintain reliability, meet growing customer needs</w:t>
      </w:r>
      <w:r w:rsidR="000A5D90" w:rsidRPr="003250F5">
        <w:rPr>
          <w:rFonts w:eastAsia="Times New Roman" w:cs="Arial"/>
        </w:rPr>
        <w:t xml:space="preserve">, or </w:t>
      </w:r>
      <w:r w:rsidR="006E0AB6">
        <w:rPr>
          <w:rFonts w:eastAsia="Times New Roman" w:cs="Arial"/>
        </w:rPr>
        <w:t>to provide</w:t>
      </w:r>
      <w:r w:rsidR="006E0AB6" w:rsidRPr="003250F5">
        <w:rPr>
          <w:rFonts w:eastAsia="Times New Roman" w:cs="Arial"/>
        </w:rPr>
        <w:t xml:space="preserve"> </w:t>
      </w:r>
      <w:r w:rsidR="003250F5" w:rsidRPr="003250F5">
        <w:rPr>
          <w:rFonts w:eastAsia="Times New Roman" w:cs="Arial"/>
        </w:rPr>
        <w:t xml:space="preserve">fuel-cost savings. </w:t>
      </w:r>
      <w:r w:rsidR="009760F0">
        <w:rPr>
          <w:rFonts w:eastAsia="Times New Roman" w:cs="Arial"/>
        </w:rPr>
        <w:t xml:space="preserve">The Company’s </w:t>
      </w:r>
      <w:r w:rsidR="003250F5" w:rsidRPr="003250F5">
        <w:rPr>
          <w:rFonts w:eastAsia="Times New Roman" w:cs="Arial"/>
        </w:rPr>
        <w:t>resource needs for the years 2019–2038 based on current assumptions</w:t>
      </w:r>
      <w:r w:rsidR="009760F0">
        <w:rPr>
          <w:rFonts w:eastAsia="Times New Roman" w:cs="Arial"/>
        </w:rPr>
        <w:t xml:space="preserve"> are shown</w:t>
      </w:r>
      <w:r w:rsidR="001C4224">
        <w:rPr>
          <w:rFonts w:eastAsia="Times New Roman" w:cs="Arial"/>
        </w:rPr>
        <w:t xml:space="preserve"> in</w:t>
      </w:r>
      <w:r w:rsidR="009760F0">
        <w:rPr>
          <w:rFonts w:eastAsia="Times New Roman" w:cs="Arial"/>
        </w:rPr>
        <w:t xml:space="preserve"> </w:t>
      </w:r>
      <w:r w:rsidR="00FA60BD" w:rsidRPr="00FA60BD">
        <w:t xml:space="preserve">Tables </w:t>
      </w:r>
      <w:r w:rsidR="00FA60BD" w:rsidRPr="006D1E34">
        <w:t>4.6.1a through 4.6.3b</w:t>
      </w:r>
      <w:r w:rsidR="00FA60BD" w:rsidRPr="00FA60BD">
        <w:t>,</w:t>
      </w:r>
      <w:r w:rsidR="00FA60BD">
        <w:t xml:space="preserve"> </w:t>
      </w:r>
      <w:r w:rsidR="00FA60BD" w:rsidRPr="00FA60BD">
        <w:t xml:space="preserve">Table </w:t>
      </w:r>
      <w:r w:rsidR="00FA60BD" w:rsidRPr="006D1E34">
        <w:t xml:space="preserve">4.6.6, and Figures 4.6.4a through 4.6.4b </w:t>
      </w:r>
      <w:r w:rsidR="009760F0" w:rsidRPr="003250F5">
        <w:rPr>
          <w:rFonts w:eastAsia="Times New Roman" w:cs="Arial"/>
        </w:rPr>
        <w:t xml:space="preserve">in the </w:t>
      </w:r>
      <w:r w:rsidR="008539CA">
        <w:rPr>
          <w:rFonts w:eastAsia="Times New Roman" w:cs="Arial"/>
        </w:rPr>
        <w:t xml:space="preserve">2019 </w:t>
      </w:r>
      <w:r w:rsidR="009760F0" w:rsidRPr="003250F5">
        <w:rPr>
          <w:rFonts w:eastAsia="Times New Roman" w:cs="Arial"/>
        </w:rPr>
        <w:t>IRP</w:t>
      </w:r>
      <w:r w:rsidR="008539CA">
        <w:rPr>
          <w:rFonts w:eastAsia="Times New Roman" w:cs="Arial"/>
        </w:rPr>
        <w:t xml:space="preserve"> Plan and </w:t>
      </w:r>
      <w:r w:rsidR="009760F0" w:rsidRPr="003250F5">
        <w:rPr>
          <w:rFonts w:eastAsia="Times New Roman" w:cs="Arial"/>
        </w:rPr>
        <w:t xml:space="preserve">Reference Tables section of Technical Appendix Volume </w:t>
      </w:r>
      <w:r w:rsidR="000B0868">
        <w:rPr>
          <w:rFonts w:eastAsia="Times New Roman" w:cs="Arial"/>
        </w:rPr>
        <w:t>2</w:t>
      </w:r>
      <w:r w:rsidR="003250F5" w:rsidRPr="003250F5">
        <w:rPr>
          <w:rFonts w:eastAsia="Times New Roman" w:cs="Arial"/>
        </w:rPr>
        <w:t>. When Georgia Power acquires resources to meet capacity needs identified in the IRP</w:t>
      </w:r>
      <w:r w:rsidR="000A5D90" w:rsidRPr="003250F5">
        <w:rPr>
          <w:rFonts w:eastAsia="Times New Roman" w:cs="Arial"/>
        </w:rPr>
        <w:t xml:space="preserve">, the actual generation </w:t>
      </w:r>
      <w:r w:rsidR="008B0E94">
        <w:rPr>
          <w:rFonts w:eastAsia="Times New Roman" w:cs="Arial"/>
        </w:rPr>
        <w:t>resource</w:t>
      </w:r>
      <w:r w:rsidR="002D778F">
        <w:rPr>
          <w:rFonts w:eastAsia="Times New Roman" w:cs="Arial"/>
        </w:rPr>
        <w:t xml:space="preserve"> procured </w:t>
      </w:r>
      <w:r w:rsidR="000A5D90" w:rsidRPr="003250F5">
        <w:rPr>
          <w:rFonts w:eastAsia="Times New Roman" w:cs="Arial"/>
        </w:rPr>
        <w:t>will be selected in accordance with the Commission’s RFP rules.</w:t>
      </w:r>
    </w:p>
    <w:p w14:paraId="3850758F" w14:textId="6DCFCCAE" w:rsidR="00466E41" w:rsidRDefault="00B97523" w:rsidP="00A7180F">
      <w:pPr>
        <w:pStyle w:val="Heading2"/>
      </w:pPr>
      <w:bookmarkStart w:id="59" w:name="_Toc536209129"/>
      <w:r>
        <w:t>Scenario Planning</w:t>
      </w:r>
      <w:bookmarkEnd w:id="59"/>
    </w:p>
    <w:p w14:paraId="01BAD12F" w14:textId="5E3607BD" w:rsidR="00466E41" w:rsidRPr="00C8197A" w:rsidRDefault="00466E41" w:rsidP="006549EE">
      <w:r w:rsidRPr="00C8197A">
        <w:t xml:space="preserve">For the 2019 IRP, the Company </w:t>
      </w:r>
      <w:r w:rsidR="009760F0">
        <w:t>presents</w:t>
      </w:r>
      <w:r w:rsidRPr="00C8197A">
        <w:t xml:space="preserve"> the results of multiple scenario planning cases that evaluate the impacts of three different fuel price views </w:t>
      </w:r>
      <w:r w:rsidR="009760F0">
        <w:t>overlaid with</w:t>
      </w:r>
      <w:r w:rsidRPr="00C8197A">
        <w:t xml:space="preserve"> three different carbon views, each estimating the impact of additional</w:t>
      </w:r>
      <w:r w:rsidR="002D778F">
        <w:t xml:space="preserve"> </w:t>
      </w:r>
      <w:r w:rsidRPr="00C8197A">
        <w:t xml:space="preserve">pressure on </w:t>
      </w:r>
      <w:r w:rsidR="000578C6">
        <w:t>carbon dioxide (“CO</w:t>
      </w:r>
      <w:r w:rsidR="000578C6" w:rsidRPr="000578C6">
        <w:rPr>
          <w:vertAlign w:val="subscript"/>
        </w:rPr>
        <w:t>2</w:t>
      </w:r>
      <w:r w:rsidR="000578C6">
        <w:t xml:space="preserve">”) emitting </w:t>
      </w:r>
      <w:r w:rsidRPr="00C8197A">
        <w:t xml:space="preserve">generation. Each scenario planning case is a separate and fully integrated resource plan and provides valuable insights into the potential impacts of different combinations of fuel prices and carbon prices over the </w:t>
      </w:r>
      <w:r w:rsidR="009760F0">
        <w:t xml:space="preserve">IRP </w:t>
      </w:r>
      <w:r w:rsidRPr="00C8197A">
        <w:t>planning period.</w:t>
      </w:r>
    </w:p>
    <w:p w14:paraId="76F7B091" w14:textId="7122CE8A" w:rsidR="00466E41" w:rsidRDefault="00466E41" w:rsidP="006549EE">
      <w:r w:rsidRPr="00C8197A">
        <w:t xml:space="preserve">The Company employed a national economic model to evaluate the impacts of </w:t>
      </w:r>
      <w:r w:rsidR="000A5D90" w:rsidRPr="00C8197A">
        <w:t xml:space="preserve">different fuel </w:t>
      </w:r>
      <w:r w:rsidRPr="00C8197A">
        <w:t>and carbon prices on national and regional economic activity. This national economic model was also used to estimate the impacts of different carbon prices on the price of fuels, particularly natural gas, and to estimate the changes to the electric generation fleet acro</w:t>
      </w:r>
      <w:r w:rsidR="00322CA3">
        <w:t xml:space="preserve">ss the </w:t>
      </w:r>
      <w:r w:rsidR="007136B4">
        <w:t>United States</w:t>
      </w:r>
      <w:r w:rsidRPr="00C8197A">
        <w:t xml:space="preserve"> that result from scenario-specific prices of carbon and fuel. These impacts were extended to develop specific </w:t>
      </w:r>
      <w:r w:rsidR="008A57FA">
        <w:t>load</w:t>
      </w:r>
      <w:r w:rsidRPr="00C8197A">
        <w:t xml:space="preserve"> and energy forecasts for each scenario. The integrated </w:t>
      </w:r>
      <w:r w:rsidR="008A57FA">
        <w:t>load</w:t>
      </w:r>
      <w:r w:rsidRPr="00C8197A">
        <w:t xml:space="preserve"> and energy forecasts were then used as the basis for developing a reliable and economic</w:t>
      </w:r>
      <w:r w:rsidR="001C2170">
        <w:t>al</w:t>
      </w:r>
      <w:r w:rsidRPr="00C8197A">
        <w:t xml:space="preserve"> combination of potential resource</w:t>
      </w:r>
      <w:r w:rsidR="00553824">
        <w:t xml:space="preserve"> options</w:t>
      </w:r>
      <w:r w:rsidRPr="00C8197A">
        <w:t xml:space="preserve"> to meet the needs of customers for each scenario. </w:t>
      </w:r>
    </w:p>
    <w:p w14:paraId="173DA93C" w14:textId="34407D46" w:rsidR="00466E41" w:rsidRPr="00E777B2" w:rsidRDefault="002D778F" w:rsidP="006549EE">
      <w:pPr>
        <w:rPr>
          <w:rFonts w:cs="Arial"/>
        </w:rPr>
      </w:pPr>
      <w:r>
        <w:rPr>
          <w:rFonts w:eastAsia="Times New Roman" w:cs="Arial"/>
        </w:rPr>
        <w:t>The Company</w:t>
      </w:r>
      <w:r w:rsidR="00466E41" w:rsidRPr="00E777B2">
        <w:rPr>
          <w:rFonts w:eastAsia="Times New Roman" w:cs="Arial"/>
        </w:rPr>
        <w:t xml:space="preserve"> </w:t>
      </w:r>
      <w:r w:rsidR="00CB762C">
        <w:rPr>
          <w:rFonts w:eastAsia="Times New Roman" w:cs="Arial"/>
        </w:rPr>
        <w:t xml:space="preserve">collaborates with its </w:t>
      </w:r>
      <w:r w:rsidR="00466E41" w:rsidRPr="00E777B2">
        <w:rPr>
          <w:rFonts w:eastAsia="Times New Roman" w:cs="Arial"/>
        </w:rPr>
        <w:t xml:space="preserve">scenario modeling consultant, Charles River Associates (“CRA”), </w:t>
      </w:r>
      <w:r w:rsidR="00CB762C">
        <w:rPr>
          <w:rFonts w:eastAsia="Times New Roman" w:cs="Arial"/>
        </w:rPr>
        <w:t xml:space="preserve">to </w:t>
      </w:r>
      <w:r w:rsidR="00466E41" w:rsidRPr="00E777B2">
        <w:rPr>
          <w:rFonts w:eastAsia="Times New Roman" w:cs="Arial"/>
        </w:rPr>
        <w:t>produce the long-term fuel price forecasts</w:t>
      </w:r>
      <w:r w:rsidR="00466E41" w:rsidRPr="00E777B2">
        <w:rPr>
          <w:rFonts w:cs="Arial"/>
        </w:rPr>
        <w:t xml:space="preserve"> resulting in the scenario design shown in </w:t>
      </w:r>
      <w:r w:rsidR="00D13A2A">
        <w:rPr>
          <w:rFonts w:cs="Arial"/>
        </w:rPr>
        <w:fldChar w:fldCharType="begin"/>
      </w:r>
      <w:r w:rsidR="00D13A2A">
        <w:rPr>
          <w:rFonts w:cs="Arial"/>
        </w:rPr>
        <w:instrText xml:space="preserve"> REF _Ref531879220 \h </w:instrText>
      </w:r>
      <w:r w:rsidR="00D13A2A">
        <w:rPr>
          <w:rFonts w:cs="Arial"/>
        </w:rPr>
      </w:r>
      <w:r w:rsidR="00D13A2A">
        <w:rPr>
          <w:rFonts w:cs="Arial"/>
        </w:rPr>
        <w:fldChar w:fldCharType="separate"/>
      </w:r>
      <w:r w:rsidR="00F33DA2">
        <w:t xml:space="preserve">Figure </w:t>
      </w:r>
      <w:r w:rsidR="00F33DA2">
        <w:rPr>
          <w:noProof/>
        </w:rPr>
        <w:t>3</w:t>
      </w:r>
      <w:r w:rsidR="00D13A2A">
        <w:rPr>
          <w:rFonts w:cs="Arial"/>
        </w:rPr>
        <w:fldChar w:fldCharType="end"/>
      </w:r>
      <w:r w:rsidR="009760F0">
        <w:rPr>
          <w:rFonts w:cs="Arial"/>
        </w:rPr>
        <w:t xml:space="preserve">, which is </w:t>
      </w:r>
      <w:r w:rsidR="00466E41" w:rsidRPr="00E777B2">
        <w:rPr>
          <w:rFonts w:cs="Arial"/>
        </w:rPr>
        <w:t xml:space="preserve">reviewed in detail </w:t>
      </w:r>
      <w:r w:rsidR="00593BD0">
        <w:rPr>
          <w:rFonts w:cs="Arial"/>
        </w:rPr>
        <w:t>in Technical Appendix Volume 1.</w:t>
      </w:r>
    </w:p>
    <w:tbl>
      <w:tblPr>
        <w:tblW w:w="7600" w:type="dxa"/>
        <w:jc w:val="center"/>
        <w:tblLook w:val="04A0" w:firstRow="1" w:lastRow="0" w:firstColumn="1" w:lastColumn="0" w:noHBand="0" w:noVBand="1"/>
      </w:tblPr>
      <w:tblGrid>
        <w:gridCol w:w="482"/>
        <w:gridCol w:w="2193"/>
        <w:gridCol w:w="1496"/>
        <w:gridCol w:w="1742"/>
        <w:gridCol w:w="1742"/>
      </w:tblGrid>
      <w:tr w:rsidR="00D13A2A" w:rsidRPr="00D13A2A" w14:paraId="5C235342" w14:textId="77777777" w:rsidTr="00D13A2A">
        <w:trPr>
          <w:trHeight w:val="499"/>
          <w:jc w:val="center"/>
        </w:trPr>
        <w:tc>
          <w:tcPr>
            <w:tcW w:w="2620" w:type="dxa"/>
            <w:gridSpan w:val="2"/>
            <w:vMerge w:val="restar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3ECA71B0"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 </w:t>
            </w:r>
          </w:p>
        </w:tc>
        <w:tc>
          <w:tcPr>
            <w:tcW w:w="4980" w:type="dxa"/>
            <w:gridSpan w:val="3"/>
            <w:tcBorders>
              <w:top w:val="single" w:sz="4" w:space="0" w:color="FFFFFF"/>
              <w:left w:val="nil"/>
              <w:bottom w:val="single" w:sz="4" w:space="0" w:color="FFFFFF"/>
              <w:right w:val="single" w:sz="4" w:space="0" w:color="FFFFFF"/>
            </w:tcBorders>
            <w:shd w:val="clear" w:color="000000" w:fill="4F81BD"/>
            <w:noWrap/>
            <w:vAlign w:val="center"/>
            <w:hideMark/>
          </w:tcPr>
          <w:p w14:paraId="77784606" w14:textId="77777777" w:rsidR="00D13A2A" w:rsidRPr="00D13A2A" w:rsidRDefault="00D13A2A" w:rsidP="00EB3DE7">
            <w:pPr>
              <w:keepNext/>
              <w:keepLines/>
              <w:spacing w:after="0" w:line="240" w:lineRule="auto"/>
              <w:jc w:val="center"/>
              <w:rPr>
                <w:rFonts w:eastAsia="Times New Roman" w:cs="Arial"/>
                <w:b/>
                <w:bCs/>
                <w:color w:val="FFFFFF"/>
              </w:rPr>
            </w:pPr>
            <w:r w:rsidRPr="00D13A2A">
              <w:rPr>
                <w:rFonts w:eastAsia="Times New Roman" w:cs="Arial"/>
                <w:b/>
                <w:bCs/>
                <w:color w:val="FFFFFF"/>
              </w:rPr>
              <w:t>CO</w:t>
            </w:r>
            <w:r w:rsidRPr="00D13A2A">
              <w:rPr>
                <w:rFonts w:eastAsia="Times New Roman" w:cs="Arial"/>
                <w:b/>
                <w:bCs/>
                <w:color w:val="FFFFFF"/>
                <w:vertAlign w:val="subscript"/>
              </w:rPr>
              <w:t>2</w:t>
            </w:r>
            <w:r w:rsidRPr="00D13A2A">
              <w:rPr>
                <w:rFonts w:eastAsia="Times New Roman" w:cs="Arial"/>
                <w:b/>
                <w:bCs/>
                <w:color w:val="FFFFFF"/>
              </w:rPr>
              <w:t xml:space="preserve"> Views</w:t>
            </w:r>
          </w:p>
        </w:tc>
      </w:tr>
      <w:tr w:rsidR="00D13A2A" w:rsidRPr="00D13A2A" w14:paraId="1AA72023" w14:textId="77777777" w:rsidTr="00D13A2A">
        <w:trPr>
          <w:trHeight w:val="499"/>
          <w:jc w:val="center"/>
        </w:trPr>
        <w:tc>
          <w:tcPr>
            <w:tcW w:w="2620" w:type="dxa"/>
            <w:gridSpan w:val="2"/>
            <w:vMerge/>
            <w:tcBorders>
              <w:top w:val="single" w:sz="4" w:space="0" w:color="FFFFFF"/>
              <w:left w:val="single" w:sz="4" w:space="0" w:color="FFFFFF"/>
              <w:bottom w:val="single" w:sz="4" w:space="0" w:color="FFFFFF"/>
              <w:right w:val="single" w:sz="4" w:space="0" w:color="FFFFFF"/>
            </w:tcBorders>
            <w:vAlign w:val="center"/>
            <w:hideMark/>
          </w:tcPr>
          <w:p w14:paraId="523DE736" w14:textId="77777777" w:rsidR="00D13A2A" w:rsidRPr="00D13A2A" w:rsidRDefault="00D13A2A" w:rsidP="00EB3DE7">
            <w:pPr>
              <w:keepNext/>
              <w:keepLines/>
              <w:spacing w:after="0" w:line="240" w:lineRule="auto"/>
              <w:jc w:val="left"/>
              <w:rPr>
                <w:rFonts w:eastAsia="Times New Roman" w:cs="Arial"/>
                <w:color w:val="000000"/>
              </w:rPr>
            </w:pPr>
          </w:p>
        </w:tc>
        <w:tc>
          <w:tcPr>
            <w:tcW w:w="1496" w:type="dxa"/>
            <w:tcBorders>
              <w:top w:val="nil"/>
              <w:left w:val="nil"/>
              <w:bottom w:val="single" w:sz="4" w:space="0" w:color="FFFFFF"/>
              <w:right w:val="single" w:sz="4" w:space="0" w:color="FFFFFF"/>
            </w:tcBorders>
            <w:shd w:val="clear" w:color="000000" w:fill="DCE6F1"/>
            <w:noWrap/>
            <w:vAlign w:val="center"/>
            <w:hideMark/>
          </w:tcPr>
          <w:p w14:paraId="2BDBF376" w14:textId="77777777" w:rsidR="00D13A2A" w:rsidRPr="00D13A2A" w:rsidRDefault="00D13A2A" w:rsidP="00EB3DE7">
            <w:pPr>
              <w:keepNext/>
              <w:keepLines/>
              <w:spacing w:after="0" w:line="240" w:lineRule="auto"/>
              <w:jc w:val="center"/>
              <w:rPr>
                <w:rFonts w:eastAsia="Times New Roman" w:cs="Arial"/>
                <w:b/>
                <w:bCs/>
                <w:color w:val="000000"/>
              </w:rPr>
            </w:pPr>
            <w:r w:rsidRPr="00D13A2A">
              <w:rPr>
                <w:rFonts w:eastAsia="Times New Roman" w:cs="Arial"/>
                <w:b/>
                <w:bCs/>
                <w:color w:val="000000"/>
              </w:rPr>
              <w:t>$0 CO</w:t>
            </w:r>
            <w:r w:rsidRPr="00D13A2A">
              <w:rPr>
                <w:rFonts w:eastAsia="Times New Roman" w:cs="Arial"/>
                <w:b/>
                <w:bCs/>
                <w:color w:val="000000"/>
                <w:vertAlign w:val="subscript"/>
              </w:rPr>
              <w:t>2</w:t>
            </w:r>
          </w:p>
        </w:tc>
        <w:tc>
          <w:tcPr>
            <w:tcW w:w="1742" w:type="dxa"/>
            <w:tcBorders>
              <w:top w:val="nil"/>
              <w:left w:val="nil"/>
              <w:bottom w:val="single" w:sz="4" w:space="0" w:color="FFFFFF"/>
              <w:right w:val="single" w:sz="4" w:space="0" w:color="FFFFFF"/>
            </w:tcBorders>
            <w:shd w:val="clear" w:color="000000" w:fill="DCE6F1"/>
            <w:noWrap/>
            <w:vAlign w:val="center"/>
            <w:hideMark/>
          </w:tcPr>
          <w:p w14:paraId="3017BE79" w14:textId="77777777" w:rsidR="00D13A2A" w:rsidRPr="00D13A2A" w:rsidRDefault="00D13A2A" w:rsidP="00EB3DE7">
            <w:pPr>
              <w:keepNext/>
              <w:keepLines/>
              <w:spacing w:after="0" w:line="240" w:lineRule="auto"/>
              <w:jc w:val="center"/>
              <w:rPr>
                <w:rFonts w:eastAsia="Times New Roman" w:cs="Arial"/>
                <w:b/>
                <w:bCs/>
                <w:color w:val="000000"/>
              </w:rPr>
            </w:pPr>
            <w:r w:rsidRPr="00D13A2A">
              <w:rPr>
                <w:rFonts w:eastAsia="Times New Roman" w:cs="Arial"/>
                <w:b/>
                <w:bCs/>
                <w:color w:val="000000"/>
              </w:rPr>
              <w:t>$10 CO</w:t>
            </w:r>
            <w:r w:rsidRPr="00D13A2A">
              <w:rPr>
                <w:rFonts w:eastAsia="Times New Roman" w:cs="Arial"/>
                <w:b/>
                <w:bCs/>
                <w:color w:val="000000"/>
                <w:vertAlign w:val="subscript"/>
              </w:rPr>
              <w:t>2</w:t>
            </w:r>
          </w:p>
        </w:tc>
        <w:tc>
          <w:tcPr>
            <w:tcW w:w="1742" w:type="dxa"/>
            <w:tcBorders>
              <w:top w:val="nil"/>
              <w:left w:val="nil"/>
              <w:bottom w:val="single" w:sz="4" w:space="0" w:color="FFFFFF"/>
              <w:right w:val="single" w:sz="4" w:space="0" w:color="FFFFFF"/>
            </w:tcBorders>
            <w:shd w:val="clear" w:color="000000" w:fill="DCE6F1"/>
            <w:noWrap/>
            <w:vAlign w:val="center"/>
            <w:hideMark/>
          </w:tcPr>
          <w:p w14:paraId="19F3022C" w14:textId="77777777" w:rsidR="00D13A2A" w:rsidRPr="00D13A2A" w:rsidRDefault="00D13A2A" w:rsidP="00EB3DE7">
            <w:pPr>
              <w:keepNext/>
              <w:keepLines/>
              <w:spacing w:after="0" w:line="240" w:lineRule="auto"/>
              <w:jc w:val="center"/>
              <w:rPr>
                <w:rFonts w:eastAsia="Times New Roman" w:cs="Arial"/>
                <w:b/>
                <w:bCs/>
                <w:color w:val="000000"/>
              </w:rPr>
            </w:pPr>
            <w:r w:rsidRPr="00D13A2A">
              <w:rPr>
                <w:rFonts w:eastAsia="Times New Roman" w:cs="Arial"/>
                <w:b/>
                <w:bCs/>
                <w:color w:val="000000"/>
              </w:rPr>
              <w:t>$20 CO</w:t>
            </w:r>
            <w:r w:rsidRPr="00D13A2A">
              <w:rPr>
                <w:rFonts w:eastAsia="Times New Roman" w:cs="Arial"/>
                <w:b/>
                <w:bCs/>
                <w:color w:val="000000"/>
                <w:vertAlign w:val="subscript"/>
              </w:rPr>
              <w:t>2</w:t>
            </w:r>
          </w:p>
        </w:tc>
      </w:tr>
      <w:tr w:rsidR="00D13A2A" w:rsidRPr="00D13A2A" w14:paraId="01BE87A1" w14:textId="77777777" w:rsidTr="00D13A2A">
        <w:trPr>
          <w:trHeight w:val="499"/>
          <w:jc w:val="center"/>
        </w:trPr>
        <w:tc>
          <w:tcPr>
            <w:tcW w:w="427" w:type="dxa"/>
            <w:vMerge w:val="restart"/>
            <w:tcBorders>
              <w:top w:val="nil"/>
              <w:left w:val="single" w:sz="4" w:space="0" w:color="FFFFFF"/>
              <w:bottom w:val="single" w:sz="4" w:space="0" w:color="FFFFFF"/>
              <w:right w:val="single" w:sz="4" w:space="0" w:color="FFFFFF"/>
            </w:tcBorders>
            <w:shd w:val="clear" w:color="000000" w:fill="4F81BD"/>
            <w:noWrap/>
            <w:textDirection w:val="btLr"/>
            <w:vAlign w:val="center"/>
            <w:hideMark/>
          </w:tcPr>
          <w:p w14:paraId="1888A380" w14:textId="77777777" w:rsidR="00D13A2A" w:rsidRPr="00D13A2A" w:rsidRDefault="00D13A2A" w:rsidP="00EB3DE7">
            <w:pPr>
              <w:keepNext/>
              <w:keepLines/>
              <w:spacing w:after="0" w:line="240" w:lineRule="auto"/>
              <w:jc w:val="center"/>
              <w:rPr>
                <w:rFonts w:eastAsia="Times New Roman" w:cs="Arial"/>
                <w:b/>
                <w:bCs/>
                <w:color w:val="FFFFFF"/>
              </w:rPr>
            </w:pPr>
            <w:r w:rsidRPr="00D13A2A">
              <w:rPr>
                <w:rFonts w:eastAsia="Times New Roman" w:cs="Arial"/>
                <w:b/>
                <w:bCs/>
                <w:color w:val="FFFFFF"/>
              </w:rPr>
              <w:t>Fuel Views</w:t>
            </w:r>
          </w:p>
        </w:tc>
        <w:tc>
          <w:tcPr>
            <w:tcW w:w="2193" w:type="dxa"/>
            <w:tcBorders>
              <w:top w:val="nil"/>
              <w:left w:val="nil"/>
              <w:bottom w:val="single" w:sz="4" w:space="0" w:color="FFFFFF"/>
              <w:right w:val="single" w:sz="4" w:space="0" w:color="FFFFFF"/>
            </w:tcBorders>
            <w:shd w:val="clear" w:color="000000" w:fill="DCE6F1"/>
            <w:noWrap/>
            <w:vAlign w:val="center"/>
            <w:hideMark/>
          </w:tcPr>
          <w:p w14:paraId="4CF53599" w14:textId="77777777" w:rsidR="00D13A2A" w:rsidRPr="00D13A2A" w:rsidRDefault="00D13A2A" w:rsidP="00EB3DE7">
            <w:pPr>
              <w:keepNext/>
              <w:keepLines/>
              <w:spacing w:after="0" w:line="240" w:lineRule="auto"/>
              <w:jc w:val="center"/>
              <w:rPr>
                <w:rFonts w:eastAsia="Times New Roman" w:cs="Arial"/>
                <w:b/>
                <w:bCs/>
                <w:color w:val="000000"/>
              </w:rPr>
            </w:pPr>
            <w:r w:rsidRPr="00D13A2A">
              <w:rPr>
                <w:rFonts w:eastAsia="Times New Roman" w:cs="Arial"/>
                <w:b/>
                <w:bCs/>
                <w:color w:val="000000"/>
              </w:rPr>
              <w:t>High Fuel</w:t>
            </w:r>
          </w:p>
        </w:tc>
        <w:tc>
          <w:tcPr>
            <w:tcW w:w="1496" w:type="dxa"/>
            <w:tcBorders>
              <w:top w:val="nil"/>
              <w:left w:val="nil"/>
              <w:bottom w:val="single" w:sz="4" w:space="0" w:color="FFFFFF"/>
              <w:right w:val="single" w:sz="4" w:space="0" w:color="FFFFFF"/>
            </w:tcBorders>
            <w:shd w:val="clear" w:color="000000" w:fill="B8CCE4"/>
            <w:noWrap/>
            <w:vAlign w:val="center"/>
            <w:hideMark/>
          </w:tcPr>
          <w:p w14:paraId="76160F16"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HG0</w:t>
            </w:r>
          </w:p>
        </w:tc>
        <w:tc>
          <w:tcPr>
            <w:tcW w:w="1742" w:type="dxa"/>
            <w:tcBorders>
              <w:top w:val="nil"/>
              <w:left w:val="nil"/>
              <w:bottom w:val="single" w:sz="4" w:space="0" w:color="FFFFFF"/>
              <w:right w:val="single" w:sz="4" w:space="0" w:color="FFFFFF"/>
            </w:tcBorders>
            <w:shd w:val="clear" w:color="000000" w:fill="B8CCE4"/>
            <w:noWrap/>
            <w:vAlign w:val="center"/>
            <w:hideMark/>
          </w:tcPr>
          <w:p w14:paraId="474DBD65"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HG10</w:t>
            </w:r>
          </w:p>
        </w:tc>
        <w:tc>
          <w:tcPr>
            <w:tcW w:w="1742" w:type="dxa"/>
            <w:tcBorders>
              <w:top w:val="nil"/>
              <w:left w:val="nil"/>
              <w:bottom w:val="single" w:sz="4" w:space="0" w:color="FFFFFF"/>
              <w:right w:val="single" w:sz="4" w:space="0" w:color="FFFFFF"/>
            </w:tcBorders>
            <w:shd w:val="clear" w:color="000000" w:fill="B8CCE4"/>
            <w:noWrap/>
            <w:vAlign w:val="center"/>
            <w:hideMark/>
          </w:tcPr>
          <w:p w14:paraId="0C67B605"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HG20</w:t>
            </w:r>
          </w:p>
        </w:tc>
      </w:tr>
      <w:tr w:rsidR="00D13A2A" w:rsidRPr="00D13A2A" w14:paraId="19E0562C" w14:textId="77777777" w:rsidTr="00D13A2A">
        <w:trPr>
          <w:trHeight w:val="499"/>
          <w:jc w:val="center"/>
        </w:trPr>
        <w:tc>
          <w:tcPr>
            <w:tcW w:w="427" w:type="dxa"/>
            <w:vMerge/>
            <w:tcBorders>
              <w:top w:val="nil"/>
              <w:left w:val="single" w:sz="4" w:space="0" w:color="FFFFFF"/>
              <w:bottom w:val="single" w:sz="4" w:space="0" w:color="FFFFFF"/>
              <w:right w:val="single" w:sz="4" w:space="0" w:color="FFFFFF"/>
            </w:tcBorders>
            <w:vAlign w:val="center"/>
            <w:hideMark/>
          </w:tcPr>
          <w:p w14:paraId="0565EC9B" w14:textId="77777777" w:rsidR="00D13A2A" w:rsidRPr="00D13A2A" w:rsidRDefault="00D13A2A" w:rsidP="00EB3DE7">
            <w:pPr>
              <w:keepNext/>
              <w:keepLines/>
              <w:spacing w:after="0" w:line="240" w:lineRule="auto"/>
              <w:jc w:val="left"/>
              <w:rPr>
                <w:rFonts w:eastAsia="Times New Roman" w:cs="Arial"/>
                <w:b/>
                <w:bCs/>
                <w:color w:val="FFFFFF"/>
              </w:rPr>
            </w:pPr>
          </w:p>
        </w:tc>
        <w:tc>
          <w:tcPr>
            <w:tcW w:w="2193" w:type="dxa"/>
            <w:tcBorders>
              <w:top w:val="nil"/>
              <w:left w:val="nil"/>
              <w:bottom w:val="single" w:sz="4" w:space="0" w:color="FFFFFF"/>
              <w:right w:val="single" w:sz="4" w:space="0" w:color="FFFFFF"/>
            </w:tcBorders>
            <w:shd w:val="clear" w:color="000000" w:fill="DCE6F1"/>
            <w:noWrap/>
            <w:vAlign w:val="center"/>
            <w:hideMark/>
          </w:tcPr>
          <w:p w14:paraId="3232A3DE" w14:textId="77777777" w:rsidR="00D13A2A" w:rsidRPr="00D13A2A" w:rsidRDefault="00D13A2A" w:rsidP="00EB3DE7">
            <w:pPr>
              <w:keepNext/>
              <w:keepLines/>
              <w:spacing w:after="0" w:line="240" w:lineRule="auto"/>
              <w:jc w:val="center"/>
              <w:rPr>
                <w:rFonts w:eastAsia="Times New Roman" w:cs="Arial"/>
                <w:b/>
                <w:bCs/>
                <w:color w:val="000000"/>
              </w:rPr>
            </w:pPr>
            <w:r w:rsidRPr="00D13A2A">
              <w:rPr>
                <w:rFonts w:eastAsia="Times New Roman" w:cs="Arial"/>
                <w:b/>
                <w:bCs/>
                <w:color w:val="000000"/>
              </w:rPr>
              <w:t>Moderate Fuel</w:t>
            </w:r>
          </w:p>
        </w:tc>
        <w:tc>
          <w:tcPr>
            <w:tcW w:w="1496" w:type="dxa"/>
            <w:tcBorders>
              <w:top w:val="nil"/>
              <w:left w:val="nil"/>
              <w:bottom w:val="single" w:sz="4" w:space="0" w:color="FFFFFF"/>
              <w:right w:val="single" w:sz="4" w:space="0" w:color="FFFFFF"/>
            </w:tcBorders>
            <w:shd w:val="clear" w:color="000000" w:fill="B8CCE4"/>
            <w:noWrap/>
            <w:vAlign w:val="center"/>
            <w:hideMark/>
          </w:tcPr>
          <w:p w14:paraId="5BC556E6"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MG0</w:t>
            </w:r>
          </w:p>
        </w:tc>
        <w:tc>
          <w:tcPr>
            <w:tcW w:w="1742" w:type="dxa"/>
            <w:tcBorders>
              <w:top w:val="nil"/>
              <w:left w:val="nil"/>
              <w:bottom w:val="single" w:sz="4" w:space="0" w:color="FFFFFF"/>
              <w:right w:val="single" w:sz="4" w:space="0" w:color="FFFFFF"/>
            </w:tcBorders>
            <w:shd w:val="clear" w:color="000000" w:fill="B8CCE4"/>
            <w:noWrap/>
            <w:vAlign w:val="center"/>
            <w:hideMark/>
          </w:tcPr>
          <w:p w14:paraId="3CA3AFA7"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MG10</w:t>
            </w:r>
          </w:p>
        </w:tc>
        <w:tc>
          <w:tcPr>
            <w:tcW w:w="1742" w:type="dxa"/>
            <w:tcBorders>
              <w:top w:val="nil"/>
              <w:left w:val="nil"/>
              <w:bottom w:val="single" w:sz="4" w:space="0" w:color="FFFFFF"/>
              <w:right w:val="single" w:sz="4" w:space="0" w:color="FFFFFF"/>
            </w:tcBorders>
            <w:shd w:val="clear" w:color="000000" w:fill="B8CCE4"/>
            <w:noWrap/>
            <w:vAlign w:val="center"/>
            <w:hideMark/>
          </w:tcPr>
          <w:p w14:paraId="6E965FA6"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MG20</w:t>
            </w:r>
          </w:p>
        </w:tc>
      </w:tr>
      <w:tr w:rsidR="00D13A2A" w:rsidRPr="00D13A2A" w14:paraId="705F713E" w14:textId="77777777" w:rsidTr="00D13A2A">
        <w:trPr>
          <w:trHeight w:val="499"/>
          <w:jc w:val="center"/>
        </w:trPr>
        <w:tc>
          <w:tcPr>
            <w:tcW w:w="427" w:type="dxa"/>
            <w:vMerge/>
            <w:tcBorders>
              <w:top w:val="nil"/>
              <w:left w:val="single" w:sz="4" w:space="0" w:color="FFFFFF"/>
              <w:bottom w:val="single" w:sz="4" w:space="0" w:color="FFFFFF"/>
              <w:right w:val="single" w:sz="4" w:space="0" w:color="FFFFFF"/>
            </w:tcBorders>
            <w:vAlign w:val="center"/>
            <w:hideMark/>
          </w:tcPr>
          <w:p w14:paraId="4E569AFE" w14:textId="77777777" w:rsidR="00D13A2A" w:rsidRPr="00D13A2A" w:rsidRDefault="00D13A2A" w:rsidP="00EB3DE7">
            <w:pPr>
              <w:keepNext/>
              <w:keepLines/>
              <w:spacing w:after="0" w:line="240" w:lineRule="auto"/>
              <w:jc w:val="left"/>
              <w:rPr>
                <w:rFonts w:eastAsia="Times New Roman" w:cs="Arial"/>
                <w:b/>
                <w:bCs/>
                <w:color w:val="FFFFFF"/>
              </w:rPr>
            </w:pPr>
          </w:p>
        </w:tc>
        <w:tc>
          <w:tcPr>
            <w:tcW w:w="2193" w:type="dxa"/>
            <w:tcBorders>
              <w:top w:val="nil"/>
              <w:left w:val="nil"/>
              <w:bottom w:val="single" w:sz="4" w:space="0" w:color="FFFFFF"/>
              <w:right w:val="single" w:sz="4" w:space="0" w:color="FFFFFF"/>
            </w:tcBorders>
            <w:shd w:val="clear" w:color="000000" w:fill="DCE6F1"/>
            <w:noWrap/>
            <w:vAlign w:val="center"/>
            <w:hideMark/>
          </w:tcPr>
          <w:p w14:paraId="6B84E746" w14:textId="77777777" w:rsidR="00D13A2A" w:rsidRPr="00D13A2A" w:rsidRDefault="00D13A2A" w:rsidP="00EB3DE7">
            <w:pPr>
              <w:keepNext/>
              <w:keepLines/>
              <w:spacing w:after="0" w:line="240" w:lineRule="auto"/>
              <w:jc w:val="center"/>
              <w:rPr>
                <w:rFonts w:eastAsia="Times New Roman" w:cs="Arial"/>
                <w:b/>
                <w:bCs/>
                <w:color w:val="000000"/>
              </w:rPr>
            </w:pPr>
            <w:r w:rsidRPr="00D13A2A">
              <w:rPr>
                <w:rFonts w:eastAsia="Times New Roman" w:cs="Arial"/>
                <w:b/>
                <w:bCs/>
                <w:color w:val="000000"/>
              </w:rPr>
              <w:t>Low Fuel</w:t>
            </w:r>
          </w:p>
        </w:tc>
        <w:tc>
          <w:tcPr>
            <w:tcW w:w="1496" w:type="dxa"/>
            <w:tcBorders>
              <w:top w:val="nil"/>
              <w:left w:val="nil"/>
              <w:bottom w:val="single" w:sz="4" w:space="0" w:color="FFFFFF"/>
              <w:right w:val="single" w:sz="4" w:space="0" w:color="FFFFFF"/>
            </w:tcBorders>
            <w:shd w:val="clear" w:color="000000" w:fill="B8CCE4"/>
            <w:noWrap/>
            <w:vAlign w:val="center"/>
            <w:hideMark/>
          </w:tcPr>
          <w:p w14:paraId="64A962EF"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LG0</w:t>
            </w:r>
          </w:p>
        </w:tc>
        <w:tc>
          <w:tcPr>
            <w:tcW w:w="1742" w:type="dxa"/>
            <w:tcBorders>
              <w:top w:val="nil"/>
              <w:left w:val="nil"/>
              <w:bottom w:val="single" w:sz="4" w:space="0" w:color="FFFFFF"/>
              <w:right w:val="single" w:sz="4" w:space="0" w:color="FFFFFF"/>
            </w:tcBorders>
            <w:shd w:val="clear" w:color="000000" w:fill="B8CCE4"/>
            <w:noWrap/>
            <w:vAlign w:val="center"/>
            <w:hideMark/>
          </w:tcPr>
          <w:p w14:paraId="51456A6D"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LG10</w:t>
            </w:r>
          </w:p>
        </w:tc>
        <w:tc>
          <w:tcPr>
            <w:tcW w:w="1742" w:type="dxa"/>
            <w:tcBorders>
              <w:top w:val="nil"/>
              <w:left w:val="nil"/>
              <w:bottom w:val="single" w:sz="4" w:space="0" w:color="FFFFFF"/>
              <w:right w:val="single" w:sz="4" w:space="0" w:color="FFFFFF"/>
            </w:tcBorders>
            <w:shd w:val="clear" w:color="000000" w:fill="B8CCE4"/>
            <w:noWrap/>
            <w:vAlign w:val="center"/>
            <w:hideMark/>
          </w:tcPr>
          <w:p w14:paraId="6F10BE3F" w14:textId="77777777" w:rsidR="00D13A2A" w:rsidRPr="00D13A2A" w:rsidRDefault="00D13A2A" w:rsidP="00EB3DE7">
            <w:pPr>
              <w:keepNext/>
              <w:keepLines/>
              <w:spacing w:after="0" w:line="240" w:lineRule="auto"/>
              <w:jc w:val="center"/>
              <w:rPr>
                <w:rFonts w:eastAsia="Times New Roman" w:cs="Arial"/>
                <w:color w:val="000000"/>
              </w:rPr>
            </w:pPr>
            <w:r w:rsidRPr="00D13A2A">
              <w:rPr>
                <w:rFonts w:eastAsia="Times New Roman" w:cs="Arial"/>
                <w:color w:val="000000"/>
              </w:rPr>
              <w:t>LG20</w:t>
            </w:r>
          </w:p>
        </w:tc>
      </w:tr>
    </w:tbl>
    <w:p w14:paraId="7D047886" w14:textId="77777777" w:rsidR="00D13A2A" w:rsidRDefault="00D13A2A" w:rsidP="00EB3DE7">
      <w:pPr>
        <w:pStyle w:val="Caption"/>
        <w:keepNext/>
        <w:keepLines/>
      </w:pPr>
    </w:p>
    <w:p w14:paraId="3398F637" w14:textId="7F32DBC7" w:rsidR="00D13A2A" w:rsidRDefault="00D13A2A" w:rsidP="00EB3DE7">
      <w:pPr>
        <w:pStyle w:val="Caption"/>
        <w:keepNext/>
        <w:keepLines/>
        <w:jc w:val="center"/>
      </w:pPr>
      <w:bookmarkStart w:id="60" w:name="_Ref531879220"/>
      <w:r>
        <w:t xml:space="preserve">Figure </w:t>
      </w:r>
      <w:r w:rsidR="00FA0526">
        <w:rPr>
          <w:noProof/>
        </w:rPr>
        <w:fldChar w:fldCharType="begin"/>
      </w:r>
      <w:r w:rsidR="00FA0526">
        <w:rPr>
          <w:noProof/>
        </w:rPr>
        <w:instrText xml:space="preserve"> SEQ Figure \* ARABIC </w:instrText>
      </w:r>
      <w:r w:rsidR="00FA0526">
        <w:rPr>
          <w:noProof/>
        </w:rPr>
        <w:fldChar w:fldCharType="separate"/>
      </w:r>
      <w:r w:rsidR="00F33DA2">
        <w:rPr>
          <w:noProof/>
        </w:rPr>
        <w:t>3</w:t>
      </w:r>
      <w:r w:rsidR="00FA0526">
        <w:rPr>
          <w:noProof/>
        </w:rPr>
        <w:fldChar w:fldCharType="end"/>
      </w:r>
      <w:bookmarkEnd w:id="60"/>
      <w:r>
        <w:t>: 2019 IRP Scenario Design</w:t>
      </w:r>
    </w:p>
    <w:p w14:paraId="67AFE169" w14:textId="485C022B" w:rsidR="00466E41" w:rsidRDefault="00B97523" w:rsidP="00A7180F">
      <w:pPr>
        <w:pStyle w:val="Heading2"/>
      </w:pPr>
      <w:bookmarkStart w:id="61" w:name="_Toc536209130"/>
      <w:r>
        <w:t>Sensitivities</w:t>
      </w:r>
      <w:bookmarkEnd w:id="61"/>
    </w:p>
    <w:p w14:paraId="2AF6E9A6" w14:textId="4EA3E4E2" w:rsidR="00466E41" w:rsidRPr="00C8197A" w:rsidRDefault="00466E41" w:rsidP="006549EE">
      <w:bookmarkStart w:id="62" w:name="_Hlk527642457"/>
      <w:r w:rsidRPr="00C8197A">
        <w:t xml:space="preserve">In addition to the </w:t>
      </w:r>
      <w:r w:rsidR="009760F0">
        <w:t xml:space="preserve">nine </w:t>
      </w:r>
      <w:r w:rsidRPr="00C8197A">
        <w:t xml:space="preserve">planning scenarios described above, the Company performed </w:t>
      </w:r>
      <w:r w:rsidR="009760F0">
        <w:t xml:space="preserve">various </w:t>
      </w:r>
      <w:r w:rsidRPr="00C8197A">
        <w:t>sensitivity analys</w:t>
      </w:r>
      <w:r w:rsidR="009760F0">
        <w:t>e</w:t>
      </w:r>
      <w:r w:rsidRPr="00C8197A">
        <w:t>s. The</w:t>
      </w:r>
      <w:r w:rsidR="0036234B">
        <w:t xml:space="preserve"> following</w:t>
      </w:r>
      <w:r w:rsidRPr="00C8197A">
        <w:t xml:space="preserve"> sensitivities</w:t>
      </w:r>
      <w:r w:rsidR="00CB762C">
        <w:t xml:space="preserve"> to the base case</w:t>
      </w:r>
      <w:r w:rsidRPr="00C8197A">
        <w:t xml:space="preserve"> were performed in accordance with</w:t>
      </w:r>
      <w:r w:rsidR="002D778F">
        <w:t xml:space="preserve"> the Commission’s</w:t>
      </w:r>
      <w:r w:rsidRPr="00C8197A">
        <w:t xml:space="preserve"> IRP rules and analyzed in detail in the </w:t>
      </w:r>
      <w:r w:rsidR="00843F7D">
        <w:t xml:space="preserve">Resource </w:t>
      </w:r>
      <w:r w:rsidRPr="00C8197A">
        <w:t xml:space="preserve">Mix Study found in Technical Appendix Volume </w:t>
      </w:r>
      <w:r w:rsidR="007E0A8F">
        <w:t>2</w:t>
      </w:r>
      <w:r w:rsidR="0036234B">
        <w:t>:</w:t>
      </w:r>
    </w:p>
    <w:p w14:paraId="5D6E4119" w14:textId="77777777" w:rsidR="00466E41" w:rsidRPr="004C1F3C" w:rsidRDefault="00466E41" w:rsidP="00DD00CB">
      <w:pPr>
        <w:pStyle w:val="NoSpacing"/>
        <w:numPr>
          <w:ilvl w:val="0"/>
          <w:numId w:val="4"/>
        </w:numPr>
      </w:pPr>
      <w:bookmarkStart w:id="63" w:name="_Hlk532646890"/>
      <w:r w:rsidRPr="004C1F3C">
        <w:t>Forecast of load:</w:t>
      </w:r>
    </w:p>
    <w:p w14:paraId="69C433F8" w14:textId="77777777" w:rsidR="00466E41" w:rsidRPr="004C1F3C" w:rsidRDefault="00466E41" w:rsidP="00DD00CB">
      <w:pPr>
        <w:pStyle w:val="NoSpacing"/>
        <w:numPr>
          <w:ilvl w:val="1"/>
          <w:numId w:val="4"/>
        </w:numPr>
      </w:pPr>
      <w:r w:rsidRPr="004C1F3C">
        <w:t>Sensitivity 1 evaluates zero load growth from 2019 levels.</w:t>
      </w:r>
    </w:p>
    <w:p w14:paraId="270AB3C5" w14:textId="77777777" w:rsidR="00466E41" w:rsidRPr="004C1F3C" w:rsidRDefault="00466E41" w:rsidP="00DD00CB">
      <w:pPr>
        <w:pStyle w:val="NoSpacing"/>
        <w:numPr>
          <w:ilvl w:val="1"/>
          <w:numId w:val="4"/>
        </w:numPr>
      </w:pPr>
      <w:r w:rsidRPr="004C1F3C">
        <w:t>Sensitivities 2 and 3 evaluate higher and lower load growth.</w:t>
      </w:r>
    </w:p>
    <w:p w14:paraId="609F5E03" w14:textId="77777777" w:rsidR="00466E41" w:rsidRPr="004C1F3C" w:rsidRDefault="00466E41" w:rsidP="00DD00CB">
      <w:pPr>
        <w:pStyle w:val="NoSpacing"/>
        <w:numPr>
          <w:ilvl w:val="0"/>
          <w:numId w:val="4"/>
        </w:numPr>
      </w:pPr>
      <w:r w:rsidRPr="004C1F3C">
        <w:t>In-service dates of supply and demand resources:</w:t>
      </w:r>
    </w:p>
    <w:p w14:paraId="5CE683F0" w14:textId="41EF0219" w:rsidR="00466E41" w:rsidRPr="004C1F3C" w:rsidRDefault="00466E41" w:rsidP="00DD00CB">
      <w:pPr>
        <w:pStyle w:val="NoSpacing"/>
        <w:numPr>
          <w:ilvl w:val="1"/>
          <w:numId w:val="4"/>
        </w:numPr>
      </w:pPr>
      <w:r w:rsidRPr="004C1F3C">
        <w:t>Sensitivities 4 and 5 evaluate</w:t>
      </w:r>
      <w:r w:rsidR="00CB762C">
        <w:t xml:space="preserve"> differing</w:t>
      </w:r>
      <w:r w:rsidRPr="004C1F3C">
        <w:t xml:space="preserve"> levels of </w:t>
      </w:r>
      <w:r w:rsidR="003E1F57">
        <w:t>DSOs</w:t>
      </w:r>
      <w:r w:rsidRPr="004C1F3C">
        <w:t>.</w:t>
      </w:r>
    </w:p>
    <w:p w14:paraId="126068C7" w14:textId="6D0F0EE2" w:rsidR="00466E41" w:rsidRPr="004C1F3C" w:rsidRDefault="00466E41" w:rsidP="00DD00CB">
      <w:pPr>
        <w:pStyle w:val="NoSpacing"/>
        <w:numPr>
          <w:ilvl w:val="1"/>
          <w:numId w:val="4"/>
        </w:numPr>
      </w:pPr>
      <w:r w:rsidRPr="004C1F3C">
        <w:t xml:space="preserve">Sensitivities 12 through 20 evaluate the impacts of varying in-service dates and amounts of supply and demand resources through the scenario planning cases. In addition to separate fuel price forecasts and estimates of carbon prices, these sensitivities produce separate evaluations of the impacts on the </w:t>
      </w:r>
      <w:r w:rsidR="008A57FA">
        <w:t>load</w:t>
      </w:r>
      <w:r w:rsidR="000A5FE3" w:rsidRPr="004C1F3C">
        <w:t xml:space="preserve"> </w:t>
      </w:r>
      <w:r w:rsidRPr="004C1F3C">
        <w:t>and energy forecasts, which include effects from demand-side programs and new supply-side resources.</w:t>
      </w:r>
    </w:p>
    <w:p w14:paraId="17A064ED" w14:textId="77777777" w:rsidR="00466E41" w:rsidRPr="004C1F3C" w:rsidRDefault="00466E41" w:rsidP="00DD00CB">
      <w:pPr>
        <w:pStyle w:val="NoSpacing"/>
        <w:numPr>
          <w:ilvl w:val="0"/>
          <w:numId w:val="4"/>
        </w:numPr>
      </w:pPr>
      <w:r w:rsidRPr="004C1F3C">
        <w:t>Unit availability:</w:t>
      </w:r>
    </w:p>
    <w:p w14:paraId="7F4C8846" w14:textId="77777777" w:rsidR="00466E41" w:rsidRPr="004C1F3C" w:rsidRDefault="00466E41" w:rsidP="00DD00CB">
      <w:pPr>
        <w:pStyle w:val="NoSpacing"/>
        <w:numPr>
          <w:ilvl w:val="1"/>
          <w:numId w:val="4"/>
        </w:numPr>
      </w:pPr>
      <w:r w:rsidRPr="004C1F3C">
        <w:t>Sensitivities 6 and 7 evaluate lower and higher forced outage rates.</w:t>
      </w:r>
    </w:p>
    <w:p w14:paraId="3614DDC4" w14:textId="77777777" w:rsidR="00466E41" w:rsidRPr="004C1F3C" w:rsidRDefault="00466E41" w:rsidP="00DD00CB">
      <w:pPr>
        <w:pStyle w:val="NoSpacing"/>
        <w:numPr>
          <w:ilvl w:val="0"/>
          <w:numId w:val="4"/>
        </w:numPr>
      </w:pPr>
      <w:r w:rsidRPr="004C1F3C">
        <w:t>Fuel prices:</w:t>
      </w:r>
    </w:p>
    <w:p w14:paraId="598C7740" w14:textId="05C9C007" w:rsidR="00466E41" w:rsidRPr="004C1F3C" w:rsidRDefault="00466E41" w:rsidP="00DD00CB">
      <w:pPr>
        <w:pStyle w:val="NoSpacing"/>
        <w:numPr>
          <w:ilvl w:val="1"/>
          <w:numId w:val="4"/>
        </w:numPr>
      </w:pPr>
      <w:r w:rsidRPr="004C1F3C">
        <w:t xml:space="preserve">Sensitivities 12 through 20 evaluate the impacts of fuel prices through the scenario planning cases which have three separate fuel price environments and resulting forecasts combined with varying estimates of carbon prices. The scenario planning cases produce separate evaluations of these impacts on the </w:t>
      </w:r>
      <w:r w:rsidR="008A57FA">
        <w:t>load</w:t>
      </w:r>
      <w:r w:rsidR="00C33C80" w:rsidRPr="004C1F3C">
        <w:t xml:space="preserve"> </w:t>
      </w:r>
      <w:r w:rsidRPr="004C1F3C">
        <w:t xml:space="preserve">and energy forecasts, demand-side programs, unit retirements, and new supply-side resources. </w:t>
      </w:r>
    </w:p>
    <w:p w14:paraId="7CC7C44A" w14:textId="77777777" w:rsidR="00466E41" w:rsidRPr="004C1F3C" w:rsidRDefault="00466E41" w:rsidP="00DD00CB">
      <w:pPr>
        <w:pStyle w:val="NoSpacing"/>
        <w:numPr>
          <w:ilvl w:val="0"/>
          <w:numId w:val="4"/>
        </w:numPr>
      </w:pPr>
      <w:r w:rsidRPr="004C1F3C">
        <w:t>Inflation in plant construction costs and costs of capital:</w:t>
      </w:r>
    </w:p>
    <w:p w14:paraId="16C23642" w14:textId="77777777" w:rsidR="00466E41" w:rsidRPr="004C1F3C" w:rsidRDefault="00466E41" w:rsidP="00DD00CB">
      <w:pPr>
        <w:pStyle w:val="NoSpacing"/>
        <w:numPr>
          <w:ilvl w:val="1"/>
          <w:numId w:val="4"/>
        </w:numPr>
      </w:pPr>
      <w:r w:rsidRPr="004C1F3C">
        <w:t>Sensitivities 8 and 9 analyze the impacts of doubling and halving the construction cost escalation rates, respectively.</w:t>
      </w:r>
    </w:p>
    <w:p w14:paraId="33A840B1" w14:textId="77777777" w:rsidR="00466E41" w:rsidRPr="004C1F3C" w:rsidRDefault="00466E41" w:rsidP="00DD00CB">
      <w:pPr>
        <w:pStyle w:val="NoSpacing"/>
        <w:numPr>
          <w:ilvl w:val="1"/>
          <w:numId w:val="4"/>
        </w:numPr>
      </w:pPr>
      <w:r w:rsidRPr="004C1F3C">
        <w:t>Sensitivity 10 incorporates a higher cost of capital assumption.</w:t>
      </w:r>
    </w:p>
    <w:p w14:paraId="58C6A16A" w14:textId="77777777" w:rsidR="00466E41" w:rsidRPr="004C1F3C" w:rsidRDefault="00466E41" w:rsidP="00DD00CB">
      <w:pPr>
        <w:pStyle w:val="NoSpacing"/>
        <w:numPr>
          <w:ilvl w:val="0"/>
          <w:numId w:val="4"/>
        </w:numPr>
      </w:pPr>
      <w:r w:rsidRPr="004C1F3C">
        <w:t>Availability and costs of purchased power:</w:t>
      </w:r>
    </w:p>
    <w:p w14:paraId="572B348D" w14:textId="39BFCE38" w:rsidR="00466E41" w:rsidRPr="004C1F3C" w:rsidRDefault="00466E41" w:rsidP="00DD00CB">
      <w:pPr>
        <w:pStyle w:val="NoSpacing"/>
        <w:numPr>
          <w:ilvl w:val="1"/>
          <w:numId w:val="4"/>
        </w:numPr>
      </w:pPr>
      <w:r w:rsidRPr="004C1F3C">
        <w:t>Sensitivity 11 evaluates the impacts of</w:t>
      </w:r>
      <w:r w:rsidR="00D27E44">
        <w:t xml:space="preserve"> differing</w:t>
      </w:r>
      <w:r w:rsidRPr="004C1F3C">
        <w:t xml:space="preserve"> availability and costs of purchased power.</w:t>
      </w:r>
    </w:p>
    <w:p w14:paraId="2F8BE548" w14:textId="77777777" w:rsidR="00466E41" w:rsidRPr="004C1F3C" w:rsidRDefault="00466E41" w:rsidP="00DD00CB">
      <w:pPr>
        <w:pStyle w:val="NoSpacing"/>
        <w:numPr>
          <w:ilvl w:val="0"/>
          <w:numId w:val="4"/>
        </w:numPr>
      </w:pPr>
      <w:r w:rsidRPr="004C1F3C">
        <w:t>Pending federal or state legislation or regulation:</w:t>
      </w:r>
    </w:p>
    <w:p w14:paraId="24E7CFC1" w14:textId="39A5721C" w:rsidR="00466E41" w:rsidRPr="004C1F3C" w:rsidRDefault="00466E41" w:rsidP="00DD00CB">
      <w:pPr>
        <w:pStyle w:val="NoSpacing"/>
        <w:numPr>
          <w:ilvl w:val="1"/>
          <w:numId w:val="4"/>
        </w:numPr>
      </w:pPr>
      <w:r w:rsidRPr="004C1F3C">
        <w:t xml:space="preserve">Sensitivities 12 through 20 evaluate the impacts of pending legislation or regulation through the scenario planning cases. The impacts of pending legislation or regulation can be analyzed by varying estimates of carbon and fuel prices. The scenario planning cases produce separate evaluations of these impacts on the </w:t>
      </w:r>
      <w:r w:rsidR="008A57FA">
        <w:t>load</w:t>
      </w:r>
      <w:r w:rsidR="00C33C80" w:rsidRPr="004C1F3C">
        <w:t xml:space="preserve"> </w:t>
      </w:r>
      <w:r w:rsidRPr="004C1F3C">
        <w:t>and energy forecasts, demand-side programs, unit retirements, and new supply-side resources.</w:t>
      </w:r>
    </w:p>
    <w:bookmarkEnd w:id="63"/>
    <w:p w14:paraId="6C19D55C" w14:textId="77777777" w:rsidR="00466E41" w:rsidRPr="004C1F3C" w:rsidRDefault="00466E41" w:rsidP="00DD00CB">
      <w:pPr>
        <w:pStyle w:val="NoSpacing"/>
        <w:numPr>
          <w:ilvl w:val="0"/>
          <w:numId w:val="4"/>
        </w:numPr>
      </w:pPr>
      <w:r w:rsidRPr="004C1F3C">
        <w:t xml:space="preserve">Rate impact analysis: </w:t>
      </w:r>
    </w:p>
    <w:p w14:paraId="361B17BE" w14:textId="77777777" w:rsidR="00466E41" w:rsidRPr="004C1F3C" w:rsidRDefault="00466E41" w:rsidP="00DD00CB">
      <w:pPr>
        <w:pStyle w:val="NoSpacing"/>
        <w:numPr>
          <w:ilvl w:val="1"/>
          <w:numId w:val="4"/>
        </w:numPr>
      </w:pPr>
      <w:r w:rsidRPr="004C1F3C">
        <w:t xml:space="preserve">All of the sensitivities analyze the impacts on rates of the varying changes in assumptions. The rate impacts are included in the Financial Review in Technical Appendix Volume 2. </w:t>
      </w:r>
    </w:p>
    <w:p w14:paraId="486AAE76" w14:textId="6909B3B8" w:rsidR="00466E41" w:rsidRPr="004C1F3C" w:rsidRDefault="00466E41" w:rsidP="006549EE">
      <w:r w:rsidRPr="004C1F3C">
        <w:t xml:space="preserve">The </w:t>
      </w:r>
      <w:r w:rsidR="00843F7D">
        <w:t xml:space="preserve">Resource </w:t>
      </w:r>
      <w:r w:rsidRPr="004C1F3C">
        <w:t xml:space="preserve">Mix Study in Technical Appendix Volume </w:t>
      </w:r>
      <w:r w:rsidR="006E0AB6">
        <w:t>2</w:t>
      </w:r>
      <w:r w:rsidRPr="004C1F3C">
        <w:t xml:space="preserve"> and Financial Review in Technical Appendix Volume 2 provide descriptions of these analyses and the impacts of each sensitivity analysis on:</w:t>
      </w:r>
    </w:p>
    <w:p w14:paraId="3FB3C7EC" w14:textId="46ADD26F" w:rsidR="00466E41" w:rsidRPr="004C1F3C" w:rsidRDefault="00466E41" w:rsidP="00DD00CB">
      <w:pPr>
        <w:pStyle w:val="NoSpacing"/>
        <w:numPr>
          <w:ilvl w:val="0"/>
          <w:numId w:val="5"/>
        </w:numPr>
      </w:pPr>
      <w:r w:rsidRPr="004C1F3C">
        <w:t>The timing, amounts, and types of new capacity needed to meet customers’ needs</w:t>
      </w:r>
      <w:r w:rsidR="00221F49">
        <w:t>.</w:t>
      </w:r>
    </w:p>
    <w:p w14:paraId="7ED8335F" w14:textId="1E506AAA" w:rsidR="00FD4343" w:rsidRPr="008B38BB" w:rsidRDefault="00466E41" w:rsidP="00DD00CB">
      <w:pPr>
        <w:pStyle w:val="NoSpacing"/>
        <w:numPr>
          <w:ilvl w:val="0"/>
          <w:numId w:val="5"/>
        </w:numPr>
      </w:pPr>
      <w:r w:rsidRPr="004C1F3C">
        <w:t xml:space="preserve">The costs associated with meeting the </w:t>
      </w:r>
      <w:r w:rsidR="00FD4343" w:rsidRPr="004C1F3C">
        <w:t>load growth</w:t>
      </w:r>
      <w:r w:rsidR="003D4C64">
        <w:t>.</w:t>
      </w:r>
      <w:r w:rsidR="00FD4343" w:rsidRPr="004C1F3C">
        <w:t xml:space="preserve"> </w:t>
      </w:r>
    </w:p>
    <w:p w14:paraId="2A7FEFF5" w14:textId="02E74F41" w:rsidR="004D74FE" w:rsidRPr="00FD4343" w:rsidRDefault="004D74FE" w:rsidP="00DD00CB">
      <w:pPr>
        <w:pStyle w:val="NoSpacing"/>
        <w:numPr>
          <w:ilvl w:val="0"/>
          <w:numId w:val="5"/>
        </w:numPr>
        <w:spacing w:after="160" w:line="259" w:lineRule="auto"/>
        <w:rPr>
          <w:rFonts w:cs="Arial"/>
        </w:rPr>
      </w:pPr>
      <w:r w:rsidRPr="00FD4343">
        <w:rPr>
          <w:rFonts w:cs="Arial"/>
        </w:rPr>
        <w:br w:type="page"/>
      </w:r>
    </w:p>
    <w:p w14:paraId="229A75FA" w14:textId="7427E7EA" w:rsidR="00AA7237" w:rsidRDefault="009671FE" w:rsidP="00593BD0">
      <w:pPr>
        <w:pStyle w:val="Heading1"/>
      </w:pPr>
      <w:bookmarkStart w:id="64" w:name="_Ref532238985"/>
      <w:bookmarkStart w:id="65" w:name="_Ref532972233"/>
      <w:bookmarkStart w:id="66" w:name="_Toc536209131"/>
      <w:bookmarkStart w:id="67" w:name="_Ref527106813"/>
      <w:bookmarkStart w:id="68" w:name="_Ref527114910"/>
      <w:bookmarkEnd w:id="62"/>
      <w:r>
        <w:t>RELIABILITY</w:t>
      </w:r>
      <w:bookmarkEnd w:id="64"/>
      <w:bookmarkEnd w:id="65"/>
      <w:bookmarkEnd w:id="66"/>
    </w:p>
    <w:p w14:paraId="36AD5D05" w14:textId="3CEA656B" w:rsidR="006734D9" w:rsidRPr="006734D9" w:rsidRDefault="006734D9" w:rsidP="00A7180F">
      <w:pPr>
        <w:pStyle w:val="Heading2"/>
      </w:pPr>
      <w:bookmarkStart w:id="69" w:name="_Toc536209132"/>
      <w:r>
        <w:t>Resource Adequacy</w:t>
      </w:r>
      <w:bookmarkEnd w:id="69"/>
      <w:r>
        <w:t xml:space="preserve"> </w:t>
      </w:r>
    </w:p>
    <w:p w14:paraId="45118CE5" w14:textId="48D75054" w:rsidR="004E08CE" w:rsidRDefault="00533D18" w:rsidP="004E08CE">
      <w:r>
        <w:t>Accepted u</w:t>
      </w:r>
      <w:r w:rsidR="00AA7237" w:rsidRPr="00314142">
        <w:t xml:space="preserve">tility practice </w:t>
      </w:r>
      <w:r>
        <w:t>requires</w:t>
      </w:r>
      <w:r w:rsidRPr="00314142">
        <w:t xml:space="preserve"> </w:t>
      </w:r>
      <w:r w:rsidR="00AA7237" w:rsidRPr="00314142">
        <w:t>that electric utilities maintain a sufficient amount of both supply-side and demand-side resources to adequately serve</w:t>
      </w:r>
      <w:r w:rsidR="00E44580">
        <w:t xml:space="preserve"> the</w:t>
      </w:r>
      <w:r w:rsidR="00AA7237" w:rsidRPr="00314142">
        <w:t xml:space="preserve"> electricity needs of its customers. The process by which the utility determines the appropriate level of demand</w:t>
      </w:r>
      <w:r w:rsidR="00B06A00">
        <w:t>- and supply</w:t>
      </w:r>
      <w:r w:rsidR="00AA7237" w:rsidRPr="00314142">
        <w:t xml:space="preserve">-side reliability on the </w:t>
      </w:r>
      <w:r w:rsidR="007B1650">
        <w:t>S</w:t>
      </w:r>
      <w:r w:rsidR="007B1650" w:rsidRPr="00314142">
        <w:t xml:space="preserve">ystem </w:t>
      </w:r>
      <w:r w:rsidR="00AA7237" w:rsidRPr="00314142">
        <w:t xml:space="preserve">is commonly referred to as Resource </w:t>
      </w:r>
      <w:r w:rsidR="00896DBA" w:rsidRPr="00314142">
        <w:t>Adequacy.</w:t>
      </w:r>
      <w:r w:rsidR="00340BFC">
        <w:t xml:space="preserve"> In </w:t>
      </w:r>
      <w:r w:rsidR="00340BFC" w:rsidRPr="00FA60BD">
        <w:t xml:space="preserve">Table </w:t>
      </w:r>
      <w:r w:rsidR="00FA60BD" w:rsidRPr="006D1E34">
        <w:t>4.6.1a through 4.6.3b</w:t>
      </w:r>
      <w:r w:rsidR="00FA60BD" w:rsidRPr="006D1E34" w:rsidDel="00572774">
        <w:t xml:space="preserve"> </w:t>
      </w:r>
      <w:r w:rsidR="00340BFC">
        <w:t xml:space="preserve">and Table </w:t>
      </w:r>
      <w:r w:rsidR="00FA60BD" w:rsidRPr="006D1E34">
        <w:t>4.6.6, and Figures 4.6.4a through 4.6.4b</w:t>
      </w:r>
      <w:r w:rsidR="00FA60BD">
        <w:t xml:space="preserve"> </w:t>
      </w:r>
      <w:r w:rsidR="00340BFC">
        <w:t>in Technical Appendix Volume 2, t</w:t>
      </w:r>
      <w:r w:rsidR="00896DBA">
        <w:t>he C</w:t>
      </w:r>
      <w:r w:rsidR="00340BFC">
        <w:t xml:space="preserve">ompany demonstrates </w:t>
      </w:r>
      <w:r w:rsidR="009F4193">
        <w:t>Resource</w:t>
      </w:r>
      <w:r w:rsidR="00340BFC">
        <w:t xml:space="preserve"> </w:t>
      </w:r>
      <w:r w:rsidR="009F4193">
        <w:t>A</w:t>
      </w:r>
      <w:r w:rsidR="00340BFC">
        <w:t xml:space="preserve">dequacy </w:t>
      </w:r>
      <w:r w:rsidR="009F4193">
        <w:t>in</w:t>
      </w:r>
      <w:r w:rsidR="00340BFC">
        <w:t xml:space="preserve"> this IRP, which includes an assessment of the Company’s resources, peak demand, and Target Reserve Margins. </w:t>
      </w:r>
    </w:p>
    <w:p w14:paraId="4F78BEBB" w14:textId="2A5BCF87" w:rsidR="00896DBA" w:rsidRDefault="00896DBA" w:rsidP="00A7180F">
      <w:pPr>
        <w:pStyle w:val="Heading2"/>
      </w:pPr>
      <w:bookmarkStart w:id="70" w:name="_Toc536209133"/>
      <w:r>
        <w:t>Reserve Margin Study</w:t>
      </w:r>
      <w:bookmarkEnd w:id="70"/>
      <w:r>
        <w:t xml:space="preserve"> </w:t>
      </w:r>
    </w:p>
    <w:p w14:paraId="1F353E5E" w14:textId="4A4FEBA4" w:rsidR="00896DBA" w:rsidRPr="00896DBA" w:rsidRDefault="00896DBA" w:rsidP="00896DBA">
      <w:r w:rsidRPr="00314142">
        <w:t xml:space="preserve">Resource Adequacy requires consideration of not only the uncertainties associated with the demand for electricity, but also the uncertainty associated with the reliability of the resources available to meet that demand. </w:t>
      </w:r>
      <w:r>
        <w:t>The Target Reserve M</w:t>
      </w:r>
      <w:r w:rsidRPr="00314142">
        <w:t xml:space="preserve">argin </w:t>
      </w:r>
      <w:r>
        <w:t>represents</w:t>
      </w:r>
      <w:r w:rsidRPr="00314142">
        <w:t xml:space="preserve"> the amount of resources needed above forecasted peak demand to account for these uncertainties. To ensure proper reliability, the </w:t>
      </w:r>
      <w:r w:rsidR="008539CA">
        <w:t xml:space="preserve">Company </w:t>
      </w:r>
      <w:r w:rsidRPr="00314142">
        <w:t xml:space="preserve">must evaluate the required reserve margin using a combination of economic and reliability metrics. As such, a </w:t>
      </w:r>
      <w:r w:rsidR="00C65FF4">
        <w:t>r</w:t>
      </w:r>
      <w:r w:rsidR="00C65FF4" w:rsidRPr="00314142">
        <w:t xml:space="preserve">eserve </w:t>
      </w:r>
      <w:r w:rsidR="00C65FF4">
        <w:t>m</w:t>
      </w:r>
      <w:r w:rsidR="00C65FF4" w:rsidRPr="00314142">
        <w:t xml:space="preserve">argin </w:t>
      </w:r>
      <w:r w:rsidR="00C65FF4">
        <w:t>s</w:t>
      </w:r>
      <w:r w:rsidR="00C65FF4" w:rsidRPr="00314142">
        <w:t xml:space="preserve">tudy </w:t>
      </w:r>
      <w:r w:rsidRPr="00314142">
        <w:t xml:space="preserve">is produced </w:t>
      </w:r>
      <w:r w:rsidR="0090419A">
        <w:t xml:space="preserve">in the year </w:t>
      </w:r>
      <w:r w:rsidR="009219DF">
        <w:t>prior to each triennial IRP filing</w:t>
      </w:r>
      <w:r w:rsidRPr="00314142">
        <w:t xml:space="preserve"> to establish a Target Reserve Margin for the System for both the short-term and the long-term planning horizons. The Company performed such a study in 2018, and a report describing the</w:t>
      </w:r>
      <w:r>
        <w:t xml:space="preserve"> Reserve Margin Study</w:t>
      </w:r>
      <w:r w:rsidRPr="00314142">
        <w:t xml:space="preserve"> results is included in Technical Appendix Volume 1. The </w:t>
      </w:r>
      <w:r>
        <w:t xml:space="preserve">Reserve Margin Study </w:t>
      </w:r>
      <w:r w:rsidRPr="00314142">
        <w:t>report describes the methodology, metrics, assumptions, and results used to determine the Company’s Target Reserve Margin recommendations</w:t>
      </w:r>
      <w:r w:rsidR="009671FE">
        <w:t>.</w:t>
      </w:r>
    </w:p>
    <w:p w14:paraId="41635713" w14:textId="36CC1CC7" w:rsidR="00AA7237" w:rsidRPr="009467C9" w:rsidRDefault="00B97523" w:rsidP="00A7180F">
      <w:pPr>
        <w:pStyle w:val="Heading3"/>
      </w:pPr>
      <w:r>
        <w:t>Seasonal Target Reserve Margins</w:t>
      </w:r>
    </w:p>
    <w:p w14:paraId="1B103B63" w14:textId="7EF55CDF" w:rsidR="00AA7237" w:rsidRDefault="00AA7237" w:rsidP="006549EE">
      <w:r w:rsidRPr="00314142">
        <w:t xml:space="preserve">Historically, the Company has only produced a Target Reserve Margin for the summer season because (a) the System peaks in the summer on a weather-normal basis, and (b) </w:t>
      </w:r>
      <w:r w:rsidR="00A1453A">
        <w:t>the</w:t>
      </w:r>
      <w:r w:rsidR="0058642B">
        <w:t xml:space="preserve"> majority</w:t>
      </w:r>
      <w:r w:rsidRPr="00314142">
        <w:t xml:space="preserve"> of the System’s reliability risk has historically been in the summer. However, the 2015 Reserve Margin Study </w:t>
      </w:r>
      <w:r w:rsidR="00D64C94">
        <w:t xml:space="preserve">filed in the 2016 IRP </w:t>
      </w:r>
      <w:r w:rsidRPr="00314142">
        <w:t xml:space="preserve">reflected a significant increase in winter reliability risks associated with several drivers that had not previously been identified or modeled as part of the reserve margin determination. These drivers include: (1) the narrowing of </w:t>
      </w:r>
      <w:r w:rsidR="0058642B">
        <w:t xml:space="preserve">the difference between </w:t>
      </w:r>
      <w:r w:rsidRPr="00314142">
        <w:t xml:space="preserve">summer and winter weather-normal peak loads; (2) </w:t>
      </w:r>
      <w:r w:rsidR="00C06D87">
        <w:t>higher volatility of winter peak demands relative to summer peak demands</w:t>
      </w:r>
      <w:r w:rsidR="00370971" w:rsidRPr="00314142">
        <w:t>;</w:t>
      </w:r>
      <w:r w:rsidR="00837C1B">
        <w:t xml:space="preserve"> (3) cold-</w:t>
      </w:r>
      <w:r w:rsidRPr="00314142">
        <w:t xml:space="preserve">weather-related unit outages; (4) the penetration of solar resources; and (5) </w:t>
      </w:r>
      <w:r w:rsidR="000A5D90" w:rsidRPr="00314142">
        <w:t xml:space="preserve">increased reliance on natural gas. </w:t>
      </w:r>
      <w:r w:rsidRPr="00314142">
        <w:t xml:space="preserve">The 2018 Reserve Margin Study identified a sixth driver associated with market purchase availability. To address winter reliability issues, the 2016 IRP </w:t>
      </w:r>
      <w:r w:rsidR="00E20B88">
        <w:t xml:space="preserve">Order </w:t>
      </w:r>
      <w:r w:rsidRPr="00314142">
        <w:t>approved an increase in the Target Reserve Margin from 15% to 16.25%. Upon further consideration and examination of</w:t>
      </w:r>
      <w:r w:rsidR="00533D18">
        <w:t xml:space="preserve"> the aforementioned</w:t>
      </w:r>
      <w:r w:rsidRPr="00314142">
        <w:t xml:space="preserve"> reliability risks, the Company </w:t>
      </w:r>
      <w:r w:rsidR="008B0E94">
        <w:t>will</w:t>
      </w:r>
      <w:r w:rsidR="008B0E94" w:rsidRPr="00314142">
        <w:t xml:space="preserve"> now </w:t>
      </w:r>
      <w:r w:rsidR="008B0E94">
        <w:t>use a broader seasonal planning process</w:t>
      </w:r>
      <w:r w:rsidRPr="00314142">
        <w:t xml:space="preserve">. Given the difference in customer load response as well as differences in both availability and dependability of resources in the summer and winter peak periods, </w:t>
      </w:r>
      <w:r w:rsidR="00BF5B22">
        <w:t xml:space="preserve">it has become necessary to </w:t>
      </w:r>
      <w:r w:rsidR="00BF5B22" w:rsidRPr="00314142">
        <w:t>independently evaluat</w:t>
      </w:r>
      <w:r w:rsidR="00BF5B22">
        <w:t>e</w:t>
      </w:r>
      <w:r w:rsidR="00BF5B22" w:rsidRPr="00314142">
        <w:t xml:space="preserve"> Resource Adequacy in both the summer and winter peak periods</w:t>
      </w:r>
      <w:r w:rsidR="00BF5B22">
        <w:t xml:space="preserve"> </w:t>
      </w:r>
      <w:r w:rsidR="00C01A21">
        <w:t>to</w:t>
      </w:r>
      <w:r w:rsidR="00BF5B22">
        <w:t xml:space="preserve"> ensure that</w:t>
      </w:r>
      <w:r w:rsidR="00BF5B22" w:rsidRPr="00314142">
        <w:t xml:space="preserve"> </w:t>
      </w:r>
      <w:r w:rsidR="00BF5B22">
        <w:t>S</w:t>
      </w:r>
      <w:r w:rsidR="00BF5B22" w:rsidRPr="00314142">
        <w:t>ystem reliability</w:t>
      </w:r>
      <w:r w:rsidR="00BF5B22">
        <w:t xml:space="preserve"> has</w:t>
      </w:r>
      <w:r w:rsidR="00BF5B22" w:rsidRPr="00314142">
        <w:t xml:space="preserve"> been adequately</w:t>
      </w:r>
      <w:r w:rsidR="00BF5B22">
        <w:t xml:space="preserve"> evaluated and</w:t>
      </w:r>
      <w:r w:rsidR="00BF5B22" w:rsidRPr="00314142">
        <w:t xml:space="preserve"> </w:t>
      </w:r>
      <w:r w:rsidR="00BF5B22">
        <w:t>addressed</w:t>
      </w:r>
      <w:r w:rsidR="00BF5B22" w:rsidRPr="00314142">
        <w:t xml:space="preserve">. </w:t>
      </w:r>
      <w:r w:rsidRPr="00314142">
        <w:t xml:space="preserve">Therefore, in addition to establishing a Target Reserve Margin for the summer season (Summer Target Reserve Margin), it is necessary to establish a </w:t>
      </w:r>
      <w:r w:rsidR="009F634A">
        <w:t>W</w:t>
      </w:r>
      <w:r w:rsidR="007B1650" w:rsidRPr="00314142">
        <w:t xml:space="preserve">inter </w:t>
      </w:r>
      <w:r w:rsidRPr="00314142">
        <w:t xml:space="preserve">Target Reserve Margin for </w:t>
      </w:r>
      <w:r w:rsidR="00F77729">
        <w:t xml:space="preserve">the </w:t>
      </w:r>
      <w:r w:rsidRPr="00314142">
        <w:t xml:space="preserve">winter season. </w:t>
      </w:r>
      <w:r>
        <w:t xml:space="preserve">Technical </w:t>
      </w:r>
      <w:r w:rsidRPr="00314142">
        <w:t>Appendix</w:t>
      </w:r>
      <w:r>
        <w:t xml:space="preserve"> Volume 1 contains </w:t>
      </w:r>
      <w:r w:rsidRPr="00314142">
        <w:t>the Reserve Margin Study</w:t>
      </w:r>
      <w:r w:rsidR="009C505D">
        <w:t>,</w:t>
      </w:r>
      <w:r>
        <w:t xml:space="preserve"> which</w:t>
      </w:r>
      <w:r w:rsidRPr="00314142">
        <w:t xml:space="preserve"> further explains the need for this Winter Target Reserve Margin.</w:t>
      </w:r>
    </w:p>
    <w:p w14:paraId="4C6585D7" w14:textId="2A862540" w:rsidR="00AA7237" w:rsidRPr="009467C9" w:rsidRDefault="00B97523" w:rsidP="00A7180F">
      <w:pPr>
        <w:pStyle w:val="Heading3"/>
      </w:pPr>
      <w:r>
        <w:t>Defining Target Reserve Margins</w:t>
      </w:r>
    </w:p>
    <w:p w14:paraId="7C99B5F2" w14:textId="66D45C0F" w:rsidR="009467C9" w:rsidRPr="004E0784" w:rsidRDefault="00AA7237" w:rsidP="006549EE">
      <w:r w:rsidRPr="004E0784">
        <w:t xml:space="preserve">The traditional formulation of the Summer Target Reserve Margin is stated in terms of weather-normal summer peak demands and summer capacity ratings </w:t>
      </w:r>
      <w:r w:rsidR="009C505D">
        <w:t>according to</w:t>
      </w:r>
      <w:r w:rsidR="009C505D" w:rsidRPr="004E0784">
        <w:t xml:space="preserve"> </w:t>
      </w:r>
      <w:r w:rsidRPr="004E0784">
        <w:t>the following formula:</w:t>
      </w:r>
    </w:p>
    <w:p w14:paraId="2FD16DFA" w14:textId="4D32BB77" w:rsidR="00AA7237" w:rsidRPr="004E0784" w:rsidRDefault="00AA7237" w:rsidP="006549EE">
      <m:oMathPara>
        <m:oMath>
          <m:r>
            <w:rPr>
              <w:rFonts w:ascii="Cambria Math" w:hAnsi="Cambria Math"/>
            </w:rPr>
            <m:t>STRM=</m:t>
          </m:r>
          <m:f>
            <m:fPr>
              <m:ctrlPr>
                <w:rPr>
                  <w:rFonts w:ascii="Cambria Math" w:hAnsi="Cambria Math"/>
                  <w:i/>
                </w:rPr>
              </m:ctrlPr>
            </m:fPr>
            <m:num>
              <m:r>
                <w:rPr>
                  <w:rFonts w:ascii="Cambria Math" w:hAnsi="Cambria Math"/>
                </w:rPr>
                <m:t>TSC-SPL</m:t>
              </m:r>
            </m:num>
            <m:den>
              <m:r>
                <w:rPr>
                  <w:rFonts w:ascii="Cambria Math" w:hAnsi="Cambria Math"/>
                </w:rPr>
                <m:t>SPL</m:t>
              </m:r>
            </m:den>
          </m:f>
          <m:r>
            <w:rPr>
              <w:rFonts w:ascii="Cambria Math" w:hAnsi="Cambria Math"/>
            </w:rPr>
            <m:t>x 100%</m:t>
          </m:r>
        </m:oMath>
      </m:oMathPara>
    </w:p>
    <w:p w14:paraId="6DD0859C" w14:textId="38562C70" w:rsidR="00AA7237" w:rsidRPr="004E0784" w:rsidRDefault="00AA7237" w:rsidP="006549EE">
      <w:r w:rsidRPr="004E0784">
        <w:t>Where</w:t>
      </w:r>
      <w:r w:rsidR="009C505D">
        <w:t>:</w:t>
      </w:r>
    </w:p>
    <w:p w14:paraId="73A2ACDA" w14:textId="2EAD777B" w:rsidR="00AA7237" w:rsidRPr="004E0784" w:rsidRDefault="00AA7237" w:rsidP="006549EE">
      <w:pPr>
        <w:pStyle w:val="NoSpacing"/>
      </w:pPr>
      <w:r w:rsidRPr="004E0784">
        <w:t>STRM = Summer Target Reserve Margin</w:t>
      </w:r>
      <w:r w:rsidR="009C505D">
        <w:t>;</w:t>
      </w:r>
    </w:p>
    <w:p w14:paraId="42CE18B6" w14:textId="4FCD809A" w:rsidR="00AA7237" w:rsidRPr="004E0784" w:rsidRDefault="00AA7237" w:rsidP="006549EE">
      <w:pPr>
        <w:pStyle w:val="NoSpacing"/>
      </w:pPr>
      <w:r w:rsidRPr="004E0784">
        <w:t>TSC = Total Summer Capacity</w:t>
      </w:r>
      <w:r w:rsidR="009C505D">
        <w:t>;</w:t>
      </w:r>
      <w:r w:rsidRPr="004E0784">
        <w:t xml:space="preserve"> and</w:t>
      </w:r>
    </w:p>
    <w:p w14:paraId="7796DF25" w14:textId="75EE503E" w:rsidR="00AA7237" w:rsidRDefault="006549EE" w:rsidP="006549EE">
      <w:pPr>
        <w:pStyle w:val="NoSpacing"/>
      </w:pPr>
      <w:r>
        <w:t>SPL = Summer Peak Load</w:t>
      </w:r>
      <w:r w:rsidR="005D2618">
        <w:t>.</w:t>
      </w:r>
    </w:p>
    <w:p w14:paraId="28534B25" w14:textId="7DC9FAFB" w:rsidR="009467C9" w:rsidRPr="006549EE" w:rsidRDefault="00AA7237" w:rsidP="00AA7237">
      <w:r w:rsidRPr="004E0784">
        <w:t>By contrast, the Winter Target Reserve Margin is stated in terms of weather-normal winter peak demands and winter capacity ratings per the following formula:</w:t>
      </w:r>
    </w:p>
    <w:p w14:paraId="7357F022" w14:textId="77777777" w:rsidR="00AA7237" w:rsidRPr="004E0784" w:rsidRDefault="00AA7237" w:rsidP="00AA7237">
      <w:pPr>
        <w:rPr>
          <w:rFonts w:cs="Arial"/>
        </w:rPr>
      </w:pPr>
      <m:oMathPara>
        <m:oMath>
          <m:r>
            <w:rPr>
              <w:rFonts w:ascii="Cambria Math" w:hAnsi="Cambria Math" w:cs="Arial"/>
            </w:rPr>
            <m:t>WTRM=</m:t>
          </m:r>
          <m:f>
            <m:fPr>
              <m:ctrlPr>
                <w:rPr>
                  <w:rFonts w:ascii="Cambria Math" w:hAnsi="Cambria Math" w:cs="Arial"/>
                  <w:i/>
                </w:rPr>
              </m:ctrlPr>
            </m:fPr>
            <m:num>
              <m:r>
                <w:rPr>
                  <w:rFonts w:ascii="Cambria Math" w:hAnsi="Cambria Math" w:cs="Arial"/>
                </w:rPr>
                <m:t>TWC-WPL</m:t>
              </m:r>
            </m:num>
            <m:den>
              <m:r>
                <w:rPr>
                  <w:rFonts w:ascii="Cambria Math" w:hAnsi="Cambria Math" w:cs="Arial"/>
                </w:rPr>
                <m:t>WPL</m:t>
              </m:r>
            </m:den>
          </m:f>
          <m:r>
            <w:rPr>
              <w:rFonts w:ascii="Cambria Math" w:hAnsi="Cambria Math" w:cs="Arial"/>
            </w:rPr>
            <m:t>x 100%</m:t>
          </m:r>
        </m:oMath>
      </m:oMathPara>
    </w:p>
    <w:p w14:paraId="2AC2B54E" w14:textId="76445122" w:rsidR="00AA7237" w:rsidRPr="004E0784" w:rsidRDefault="00AA7237" w:rsidP="005D2618">
      <w:pPr>
        <w:keepNext/>
      </w:pPr>
      <w:r w:rsidRPr="004E0784">
        <w:t>Where</w:t>
      </w:r>
      <w:r w:rsidR="009C505D">
        <w:t>:</w:t>
      </w:r>
    </w:p>
    <w:p w14:paraId="0AB23D51" w14:textId="19CB6266" w:rsidR="00AA7237" w:rsidRPr="004E0784" w:rsidRDefault="00AA7237" w:rsidP="006549EE">
      <w:pPr>
        <w:pStyle w:val="NoSpacing"/>
      </w:pPr>
      <w:r w:rsidRPr="004E0784">
        <w:t>WTRM = Winter Target Reserve Margin</w:t>
      </w:r>
      <w:r w:rsidR="009C505D">
        <w:t>;</w:t>
      </w:r>
    </w:p>
    <w:p w14:paraId="72E706F1" w14:textId="2A8A9D5A" w:rsidR="00AA7237" w:rsidRPr="004E0784" w:rsidRDefault="00AA7237" w:rsidP="006549EE">
      <w:pPr>
        <w:pStyle w:val="NoSpacing"/>
      </w:pPr>
      <w:r w:rsidRPr="004E0784">
        <w:t>TWC = Total Winter Capacity</w:t>
      </w:r>
      <w:r w:rsidR="009C505D">
        <w:t>;</w:t>
      </w:r>
      <w:r w:rsidRPr="004E0784">
        <w:t xml:space="preserve"> and</w:t>
      </w:r>
    </w:p>
    <w:p w14:paraId="2402466F" w14:textId="7B3CC0A1" w:rsidR="00AA7237" w:rsidRDefault="006549EE" w:rsidP="006549EE">
      <w:pPr>
        <w:pStyle w:val="NoSpacing"/>
      </w:pPr>
      <w:r>
        <w:t>WPL = Winter Peak Load</w:t>
      </w:r>
      <w:r w:rsidR="005D2618">
        <w:t>.</w:t>
      </w:r>
    </w:p>
    <w:p w14:paraId="04DD0533" w14:textId="69A20083" w:rsidR="00AB549D" w:rsidRDefault="003D4C64" w:rsidP="00AB549D">
      <w:r w:rsidRPr="004E0784">
        <w:t xml:space="preserve">Because winter peak loads are different than summer peak </w:t>
      </w:r>
      <w:r w:rsidR="007C4CE7">
        <w:t xml:space="preserve">loads </w:t>
      </w:r>
      <w:r w:rsidRPr="004E0784">
        <w:t xml:space="preserve">and because winter generating </w:t>
      </w:r>
      <w:r w:rsidR="00AA7237" w:rsidRPr="004E0784">
        <w:t xml:space="preserve">capacity can have different operational characteristics than summer generating capacity, the Winter Target Reserve Margin </w:t>
      </w:r>
      <w:r w:rsidR="00132DF2" w:rsidRPr="004E0784">
        <w:t xml:space="preserve">can </w:t>
      </w:r>
      <w:r w:rsidR="00132DF2">
        <w:t xml:space="preserve">have the appearance of being </w:t>
      </w:r>
      <w:r w:rsidR="00132DF2" w:rsidRPr="004E0784">
        <w:t xml:space="preserve">higher than the Summer Target Reserve Margin. </w:t>
      </w:r>
      <w:r w:rsidR="00AA7237" w:rsidRPr="004E0784">
        <w:t xml:space="preserve">However, for the same </w:t>
      </w:r>
      <w:r w:rsidR="00643CE8">
        <w:t>S</w:t>
      </w:r>
      <w:r w:rsidR="00AA7237" w:rsidRPr="004E0784">
        <w:t xml:space="preserve">ystem conditions, </w:t>
      </w:r>
      <w:r w:rsidR="00633DF1">
        <w:t xml:space="preserve">both reserve margins </w:t>
      </w:r>
      <w:r w:rsidR="00AA7237" w:rsidRPr="004E0784">
        <w:t xml:space="preserve">represent the same cost and reliability. In other words, for every summer reserve margin there exists an equivalent winter reserve margin </w:t>
      </w:r>
      <w:r w:rsidR="00AB549D" w:rsidRPr="004E0784">
        <w:t xml:space="preserve">that, for </w:t>
      </w:r>
      <w:r w:rsidR="00AB549D">
        <w:t>the same given</w:t>
      </w:r>
      <w:r w:rsidR="00AB549D" w:rsidRPr="004E0784">
        <w:t xml:space="preserve"> </w:t>
      </w:r>
      <w:r w:rsidR="00643CE8">
        <w:t>S</w:t>
      </w:r>
      <w:r w:rsidR="00AB549D" w:rsidRPr="004E0784">
        <w:t>ystem conditions, represents the same cost and reliability.</w:t>
      </w:r>
    </w:p>
    <w:p w14:paraId="039E50C0" w14:textId="20259F0A" w:rsidR="00F07B28" w:rsidRPr="00876616" w:rsidRDefault="004E36ED" w:rsidP="00F07B28">
      <w:pPr>
        <w:pStyle w:val="Heading3"/>
      </w:pPr>
      <w:bookmarkStart w:id="71" w:name="_Hlk531952208"/>
      <w:r>
        <w:t>Target Reserve</w:t>
      </w:r>
      <w:r w:rsidR="00F07B28">
        <w:t xml:space="preserve"> Margins</w:t>
      </w:r>
    </w:p>
    <w:p w14:paraId="4CEF5B53" w14:textId="4794FC02" w:rsidR="00AA7237" w:rsidRPr="002A3037" w:rsidRDefault="003D4C64" w:rsidP="006549EE">
      <w:r w:rsidRPr="002A3037">
        <w:t>After analyzing the load forecast and weather uncertaint</w:t>
      </w:r>
      <w:r>
        <w:t>ies</w:t>
      </w:r>
      <w:r w:rsidRPr="002A3037">
        <w:t xml:space="preserve">, the cost of expected unserved energy, as well as projected generation reliability of the System, the Company </w:t>
      </w:r>
      <w:r w:rsidR="00F07B28">
        <w:t>plans to maintain</w:t>
      </w:r>
      <w:r w:rsidR="00F07B28" w:rsidRPr="002A3037">
        <w:t xml:space="preserve"> </w:t>
      </w:r>
      <w:r w:rsidR="00AA7237" w:rsidRPr="002A3037">
        <w:t xml:space="preserve">the current 16.25% long-term Target Reserve Margin for the System as the Summer Target Reserve Margin to be applied to the summer peak planning season. </w:t>
      </w:r>
      <w:bookmarkEnd w:id="71"/>
      <w:r w:rsidR="00AA7237" w:rsidRPr="002A3037">
        <w:t xml:space="preserve">To address the winter reliability concerns, the Company </w:t>
      </w:r>
      <w:r w:rsidR="00F07B28">
        <w:t>plans</w:t>
      </w:r>
      <w:r w:rsidR="00F07B28" w:rsidRPr="002A3037">
        <w:t xml:space="preserve"> </w:t>
      </w:r>
      <w:r w:rsidR="008539CA">
        <w:t xml:space="preserve">to add </w:t>
      </w:r>
      <w:r w:rsidR="00AA7237" w:rsidRPr="002A3037">
        <w:t xml:space="preserve">a </w:t>
      </w:r>
      <w:r w:rsidR="005871E1">
        <w:t xml:space="preserve">long-term </w:t>
      </w:r>
      <w:r w:rsidR="00AA7237" w:rsidRPr="002A3037">
        <w:t xml:space="preserve">Winter Target Reserve Margin of 26% for the System to be applied to the winter peak planning season. As explained in the </w:t>
      </w:r>
      <w:r w:rsidR="001A6E74">
        <w:t xml:space="preserve">2018 </w:t>
      </w:r>
      <w:r w:rsidR="00AA7237" w:rsidRPr="002A3037">
        <w:t xml:space="preserve">Reserve Margin Study, the </w:t>
      </w:r>
      <w:r w:rsidR="00F07B28">
        <w:t>planned</w:t>
      </w:r>
      <w:r w:rsidR="00F07B28" w:rsidRPr="002A3037">
        <w:t xml:space="preserve"> </w:t>
      </w:r>
      <w:r w:rsidR="00AA7237" w:rsidRPr="002A3037">
        <w:t xml:space="preserve">26% </w:t>
      </w:r>
      <w:r w:rsidR="005871E1">
        <w:t xml:space="preserve">long-term </w:t>
      </w:r>
      <w:r w:rsidR="00AA7237" w:rsidRPr="002A3037">
        <w:t xml:space="preserve">Winter Target Reserve Margin is consistent with </w:t>
      </w:r>
      <w:r w:rsidR="00661FB0">
        <w:t>the results of</w:t>
      </w:r>
      <w:r w:rsidR="00661FB0" w:rsidRPr="002A3037">
        <w:t xml:space="preserve"> </w:t>
      </w:r>
      <w:r w:rsidR="00AA7237" w:rsidRPr="002A3037">
        <w:t xml:space="preserve">the 2015 Reserve Margin Study </w:t>
      </w:r>
      <w:r w:rsidR="00661FB0">
        <w:t xml:space="preserve">if it </w:t>
      </w:r>
      <w:r w:rsidR="00AA7237" w:rsidRPr="002A3037">
        <w:t>had</w:t>
      </w:r>
      <w:r w:rsidR="00661FB0">
        <w:t xml:space="preserve"> </w:t>
      </w:r>
      <w:r w:rsidR="00AA7237" w:rsidRPr="002A3037">
        <w:t>generated an equivalent Winter Target Re</w:t>
      </w:r>
      <w:r w:rsidR="009467C9">
        <w:t>serve Margin for the System.</w:t>
      </w:r>
    </w:p>
    <w:p w14:paraId="158F6B6D" w14:textId="5E52FC8D" w:rsidR="00AA7237" w:rsidRPr="002A3037" w:rsidRDefault="00AA7237" w:rsidP="006549EE">
      <w:r w:rsidRPr="002A3037">
        <w:t xml:space="preserve">For the short-term, the Company </w:t>
      </w:r>
      <w:r w:rsidR="00F07B28">
        <w:t>plans to</w:t>
      </w:r>
      <w:r w:rsidR="00F07B28" w:rsidRPr="002A3037">
        <w:t xml:space="preserve"> </w:t>
      </w:r>
      <w:r w:rsidRPr="002A3037">
        <w:t xml:space="preserve">increase the Summer Target Reserve Margin from 14.75% to 15.75%, with a commensurate short-term Winter Target Reserve Margin of 25.5%. As explained in the Reserve Margin Study, the gap between the long-term and short-term periods </w:t>
      </w:r>
      <w:r w:rsidR="00661FB0">
        <w:t xml:space="preserve">(regardless of season) </w:t>
      </w:r>
      <w:r w:rsidRPr="002A3037">
        <w:t xml:space="preserve">has reduced from roughly 1.5% to 0.5%. This change is a direct consequence of changing load </w:t>
      </w:r>
      <w:r w:rsidR="00533D18">
        <w:t>characteristics</w:t>
      </w:r>
      <w:r w:rsidR="00533D18" w:rsidRPr="002A3037">
        <w:t xml:space="preserve"> </w:t>
      </w:r>
      <w:r w:rsidRPr="002A3037">
        <w:t xml:space="preserve">and energy efficiency programs that have </w:t>
      </w:r>
      <w:r w:rsidR="00661FB0">
        <w:t>reduced the</w:t>
      </w:r>
      <w:r w:rsidRPr="002A3037">
        <w:t xml:space="preserve"> overall</w:t>
      </w:r>
      <w:r w:rsidR="009219DF">
        <w:t xml:space="preserve"> peak demand response to economic uncertainty</w:t>
      </w:r>
      <w:r w:rsidRPr="002A3037">
        <w:t>.</w:t>
      </w:r>
    </w:p>
    <w:p w14:paraId="3A18FA22" w14:textId="1E2816A9" w:rsidR="00AA7237" w:rsidRDefault="00AA7237" w:rsidP="006549EE">
      <w:r w:rsidRPr="002A3037">
        <w:t xml:space="preserve">The benefit of coordinated planning and operations, which allow companies to share resources, is that each Operating Company can carry fewer reserves than the System target. Thus, the </w:t>
      </w:r>
      <w:r w:rsidR="00241CF9" w:rsidRPr="002A3037">
        <w:t xml:space="preserve">Summer Target Reserve Margin that will apply to Georgia Power will be 14.73% over the long-term and 14.23% over the short-term. Likewise, Georgia Power’s proposed Winter Target Reserve Margin will be 25.13% over the long-term and 24.63% over the short-term. However, these diversified numbers can change as </w:t>
      </w:r>
      <w:r w:rsidR="00241CF9">
        <w:t>S</w:t>
      </w:r>
      <w:r w:rsidR="00241CF9" w:rsidRPr="002A3037">
        <w:t>ystem load diversity changes.</w:t>
      </w:r>
    </w:p>
    <w:p w14:paraId="2C2F7A71" w14:textId="2457425C" w:rsidR="00AA7237" w:rsidRPr="00896DBA" w:rsidRDefault="00B97523" w:rsidP="00A7180F">
      <w:pPr>
        <w:pStyle w:val="Heading3"/>
      </w:pPr>
      <w:r w:rsidRPr="00896DBA">
        <w:t xml:space="preserve">The </w:t>
      </w:r>
      <w:r w:rsidR="00896DBA" w:rsidRPr="00896DBA">
        <w:t>Reserve Margin Study</w:t>
      </w:r>
      <w:r w:rsidRPr="00896DBA">
        <w:t xml:space="preserve"> Model</w:t>
      </w:r>
    </w:p>
    <w:p w14:paraId="7B03F6B8" w14:textId="2EFB94E0" w:rsidR="00AA7237" w:rsidRDefault="00AA7237" w:rsidP="00F46532">
      <w:r w:rsidRPr="002A3037">
        <w:t xml:space="preserve">The </w:t>
      </w:r>
      <w:r w:rsidR="001A6E74">
        <w:t xml:space="preserve">2018 </w:t>
      </w:r>
      <w:r w:rsidRPr="002A3037">
        <w:t xml:space="preserve">Reserve Margin Study included in Technical Appendix Volume 1 was performed using the Strategic Energy Risk Evaluation Model (“SERVM"). SERVM is an industry-accepted generation reliability model used </w:t>
      </w:r>
      <w:r w:rsidR="00D818ED">
        <w:t>for Resource Adequacy analyses and</w:t>
      </w:r>
      <w:r w:rsidR="00E44580">
        <w:t xml:space="preserve"> is</w:t>
      </w:r>
      <w:r w:rsidR="00D818ED">
        <w:t xml:space="preserve"> further described in </w:t>
      </w:r>
      <w:r w:rsidR="00C857AA">
        <w:fldChar w:fldCharType="begin"/>
      </w:r>
      <w:r w:rsidR="00C857AA">
        <w:instrText xml:space="preserve"> REF _Ref533152673 \n \h </w:instrText>
      </w:r>
      <w:r w:rsidR="00C857AA">
        <w:fldChar w:fldCharType="separate"/>
      </w:r>
      <w:r w:rsidR="00F33DA2">
        <w:t>ATTACHMENT A</w:t>
      </w:r>
      <w:r w:rsidR="00C857AA">
        <w:fldChar w:fldCharType="end"/>
      </w:r>
      <w:r w:rsidR="00D818ED">
        <w:t xml:space="preserve">. </w:t>
      </w:r>
      <w:r>
        <w:br w:type="page"/>
      </w:r>
    </w:p>
    <w:p w14:paraId="2460625F" w14:textId="21F7C99F" w:rsidR="004F7248" w:rsidRDefault="008A57FA" w:rsidP="00593BD0">
      <w:pPr>
        <w:pStyle w:val="Heading1"/>
      </w:pPr>
      <w:bookmarkStart w:id="72" w:name="_Ref527116542"/>
      <w:bookmarkStart w:id="73" w:name="_Ref532998462"/>
      <w:bookmarkStart w:id="74" w:name="_Ref532998646"/>
      <w:bookmarkStart w:id="75" w:name="_Toc536209134"/>
      <w:r>
        <w:t>LOAD</w:t>
      </w:r>
      <w:r w:rsidR="00DF1C07">
        <w:t xml:space="preserve"> &amp; ENERGY FORECAST</w:t>
      </w:r>
      <w:bookmarkEnd w:id="49"/>
      <w:bookmarkEnd w:id="50"/>
      <w:bookmarkEnd w:id="51"/>
      <w:bookmarkEnd w:id="67"/>
      <w:bookmarkEnd w:id="68"/>
      <w:bookmarkEnd w:id="72"/>
      <w:r w:rsidR="00083A3E">
        <w:t>S</w:t>
      </w:r>
      <w:bookmarkEnd w:id="73"/>
      <w:bookmarkEnd w:id="74"/>
      <w:bookmarkEnd w:id="75"/>
    </w:p>
    <w:p w14:paraId="26E76B68" w14:textId="689EA893" w:rsidR="00ED6150" w:rsidRDefault="00A61196" w:rsidP="006549EE">
      <w:r>
        <w:t>T</w:t>
      </w:r>
      <w:r w:rsidR="007C4CE7" w:rsidRPr="00ED6150">
        <w:t>wenty-year forecast</w:t>
      </w:r>
      <w:r>
        <w:t>s</w:t>
      </w:r>
      <w:r w:rsidR="007C4CE7" w:rsidRPr="00ED6150">
        <w:t xml:space="preserve"> of energy sales and peak demand </w:t>
      </w:r>
      <w:r>
        <w:t>were</w:t>
      </w:r>
      <w:r w:rsidR="007C4CE7" w:rsidRPr="00ED6150">
        <w:t xml:space="preserve"> developed to meet the planning </w:t>
      </w:r>
      <w:r w:rsidR="00ED6150" w:rsidRPr="00ED6150">
        <w:t xml:space="preserve">needs of Georgia Power. The Budget 2019 </w:t>
      </w:r>
      <w:r w:rsidR="008A57FA">
        <w:t>Load</w:t>
      </w:r>
      <w:r w:rsidR="00C33C80" w:rsidRPr="00ED6150">
        <w:t xml:space="preserve"> </w:t>
      </w:r>
      <w:r w:rsidR="00ED6150" w:rsidRPr="00ED6150">
        <w:t>and Energy Forecast</w:t>
      </w:r>
      <w:r w:rsidR="00083A3E">
        <w:t>s</w:t>
      </w:r>
      <w:r w:rsidR="00ED6150" w:rsidRPr="00ED6150">
        <w:t xml:space="preserve"> include the retail classes of residential, commercial, industrial, MARTA</w:t>
      </w:r>
      <w:r w:rsidR="00ED6150">
        <w:t>, and governmental lighting. The baseline forecast</w:t>
      </w:r>
      <w:r>
        <w:t>s</w:t>
      </w:r>
      <w:r w:rsidR="00ED6150">
        <w:t xml:space="preserve"> w</w:t>
      </w:r>
      <w:r>
        <w:t>ere</w:t>
      </w:r>
      <w:r w:rsidR="00ED6150">
        <w:t xml:space="preserve"> started in the spring of 2018 and completed in the fall of 2018. </w:t>
      </w:r>
      <w:r w:rsidR="00132DF2" w:rsidRPr="00ED6150">
        <w:t xml:space="preserve">A detailed discussion of the territorial energy and </w:t>
      </w:r>
      <w:r w:rsidR="008A57FA">
        <w:t>load</w:t>
      </w:r>
      <w:r w:rsidR="00132DF2" w:rsidRPr="00ED6150">
        <w:t xml:space="preserve"> forecast</w:t>
      </w:r>
      <w:r w:rsidR="008A57FA">
        <w:t>s</w:t>
      </w:r>
      <w:r w:rsidR="00132DF2" w:rsidRPr="00ED6150">
        <w:t xml:space="preserve"> is set forth in Budget 2019 </w:t>
      </w:r>
      <w:r w:rsidR="008A57FA">
        <w:t>Load</w:t>
      </w:r>
      <w:r w:rsidR="00C33C80" w:rsidRPr="00ED6150">
        <w:t xml:space="preserve"> </w:t>
      </w:r>
      <w:r w:rsidR="00132DF2" w:rsidRPr="00ED6150">
        <w:t>and Energy Forecast</w:t>
      </w:r>
      <w:r w:rsidR="00083A3E">
        <w:t>s</w:t>
      </w:r>
      <w:r w:rsidR="00132DF2" w:rsidRPr="00ED6150">
        <w:t xml:space="preserve">, found in Technical Appendix Volume </w:t>
      </w:r>
      <w:r w:rsidR="00132DF2">
        <w:t>1</w:t>
      </w:r>
      <w:r w:rsidR="00132DF2" w:rsidRPr="00ED6150">
        <w:t>.</w:t>
      </w:r>
    </w:p>
    <w:p w14:paraId="42A16BC5" w14:textId="66298155" w:rsidR="00F56E4B" w:rsidRPr="009467C9" w:rsidRDefault="00B97523" w:rsidP="00817EA7">
      <w:pPr>
        <w:pStyle w:val="Heading2"/>
      </w:pPr>
      <w:bookmarkStart w:id="76" w:name="_Toc536209135"/>
      <w:r>
        <w:t>General Forecasting and Economics Overview</w:t>
      </w:r>
      <w:bookmarkEnd w:id="76"/>
    </w:p>
    <w:p w14:paraId="301C47B8" w14:textId="6243C7BC" w:rsidR="00ED6150" w:rsidRDefault="00ED6150" w:rsidP="006549EE">
      <w:r>
        <w:t xml:space="preserve">Both the </w:t>
      </w:r>
      <w:r w:rsidR="007136B4">
        <w:t>United States</w:t>
      </w:r>
      <w:r>
        <w:t xml:space="preserve"> and Georgia experienced </w:t>
      </w:r>
      <w:r w:rsidR="00844B85">
        <w:t xml:space="preserve">robust </w:t>
      </w:r>
      <w:r>
        <w:t xml:space="preserve">economic growth from 2013-2017. Over this period, </w:t>
      </w:r>
      <w:r w:rsidR="007136B4">
        <w:t>US</w:t>
      </w:r>
      <w:r>
        <w:t xml:space="preserve"> </w:t>
      </w:r>
      <w:r w:rsidR="007136B4">
        <w:t xml:space="preserve">Gross </w:t>
      </w:r>
      <w:r>
        <w:t>D</w:t>
      </w:r>
      <w:r w:rsidR="007136B4">
        <w:t xml:space="preserve">omestic </w:t>
      </w:r>
      <w:r>
        <w:t>P</w:t>
      </w:r>
      <w:r w:rsidR="007136B4">
        <w:t>roduct</w:t>
      </w:r>
      <w:r>
        <w:t xml:space="preserve"> </w:t>
      </w:r>
      <w:r w:rsidR="007136B4">
        <w:t xml:space="preserve">(“GDP”) </w:t>
      </w:r>
      <w:r>
        <w:t xml:space="preserve">growth averaged 2.3% per year, while Georgia experienced growth of 3.1% per year. </w:t>
      </w:r>
      <w:r w:rsidR="00F07B28">
        <w:t>Also d</w:t>
      </w:r>
      <w:r>
        <w:t xml:space="preserve">uring this period, </w:t>
      </w:r>
      <w:r w:rsidR="007136B4">
        <w:t>US</w:t>
      </w:r>
      <w:r>
        <w:t xml:space="preserve"> employment grew by an average rate of 1.8% per year and unemployment fell from 8.0% to 4.1%. In Georgia, employment growth averaged 2.5% per year and the state’s unemployment fell from 8.7% to 4.5%. In 2018, the unemployment rate fell below 4% f</w:t>
      </w:r>
      <w:r w:rsidR="00E8022A">
        <w:t xml:space="preserve">or both the </w:t>
      </w:r>
      <w:r w:rsidR="007136B4">
        <w:t>United States</w:t>
      </w:r>
      <w:r w:rsidR="00E8022A">
        <w:t xml:space="preserve"> and Georgia.</w:t>
      </w:r>
    </w:p>
    <w:p w14:paraId="1A888FF0" w14:textId="2655A15B" w:rsidR="000A5D90" w:rsidRPr="00AE2E68" w:rsidRDefault="000A5D90" w:rsidP="000A5D90">
      <w:r w:rsidRPr="00AE2E68">
        <w:t xml:space="preserve">Despite steady economic growth in Georgia, Georgia Power’s total retail energy sales have </w:t>
      </w:r>
      <w:r w:rsidR="00743E06" w:rsidRPr="00AE2E68">
        <w:t xml:space="preserve">flattened since 2007. Over the 2007-2017 period, weather-normalized </w:t>
      </w:r>
      <w:r w:rsidR="001545D2" w:rsidRPr="00AE2E68">
        <w:t xml:space="preserve">total energy sales fell at an average annual rate of -0.2% and remain below 2007 levels. </w:t>
      </w:r>
      <w:r w:rsidRPr="00AE2E68">
        <w:t>The commercial and industrial classes declined over this same period, down an average of -0.2% and -0.8% per year, respectively. Residential is the only class to experience modest growth, up an average of 0.2% per year over the past ten years.</w:t>
      </w:r>
      <w:r w:rsidR="00AE2E68" w:rsidRPr="00AE2E68">
        <w:t xml:space="preserve"> In more recent years, retail sales began to grow due to the strength of the economy in Georgia </w:t>
      </w:r>
      <w:r w:rsidR="00AE2E68">
        <w:t xml:space="preserve">as </w:t>
      </w:r>
      <w:r w:rsidR="00AE2E68" w:rsidRPr="00AE2E68">
        <w:t xml:space="preserve">evidenced by strong growth in the number of customers. Between 2013 and 2018, total retail energy sales grew at an </w:t>
      </w:r>
      <w:r w:rsidR="00C4036E">
        <w:t xml:space="preserve">annual </w:t>
      </w:r>
      <w:r w:rsidR="00AE2E68" w:rsidRPr="00AE2E68">
        <w:t>average of 0.</w:t>
      </w:r>
      <w:r w:rsidR="004F7945">
        <w:t>5</w:t>
      </w:r>
      <w:r w:rsidR="00AE2E68" w:rsidRPr="00AE2E68">
        <w:t>%.</w:t>
      </w:r>
    </w:p>
    <w:p w14:paraId="13D6FBCA" w14:textId="383CDC48" w:rsidR="00ED6150" w:rsidRDefault="00ED6150" w:rsidP="006549EE">
      <w:r>
        <w:t>Georgia’s economic grow</w:t>
      </w:r>
      <w:r w:rsidR="00A263D5">
        <w:t xml:space="preserve">th is expected to continue </w:t>
      </w:r>
      <w:r w:rsidR="00BB14E1">
        <w:t>over the forecast horizon</w:t>
      </w:r>
      <w:r>
        <w:t>. One factor contributing to growth is that the state remains an attractive place to do business. Businesses are attracted by</w:t>
      </w:r>
      <w:r w:rsidR="000D08BC">
        <w:t xml:space="preserve"> factors including</w:t>
      </w:r>
      <w:r>
        <w:t xml:space="preserve"> Georgia’s low cost of doing business and low cost of living, a deep pool of knowledge</w:t>
      </w:r>
      <w:r w:rsidR="00E8022A">
        <w:t xml:space="preserve"> and </w:t>
      </w:r>
      <w:r>
        <w:t>technical workers due to its university system, its globally connected airport and transportation infrastructure (</w:t>
      </w:r>
      <w:r w:rsidRPr="00A47EB0">
        <w:t>e.g.</w:t>
      </w:r>
      <w:r w:rsidR="00A47EB0">
        <w:t>,</w:t>
      </w:r>
      <w:r>
        <w:t xml:space="preserve"> ports</w:t>
      </w:r>
      <w:r w:rsidR="00A47EB0">
        <w:t xml:space="preserve"> and</w:t>
      </w:r>
      <w:r>
        <w:t xml:space="preserve"> highways), and its business-friendly government policies. Positive demographic trends </w:t>
      </w:r>
      <w:r w:rsidR="00102D89">
        <w:t>also drive economic</w:t>
      </w:r>
      <w:r>
        <w:t xml:space="preserve"> growth in the state. As businesses continue to relocate and expand in Georgia, the state will experience </w:t>
      </w:r>
      <w:r w:rsidR="00844B85">
        <w:t>strong</w:t>
      </w:r>
      <w:r>
        <w:t xml:space="preserve"> employment growth, which will attract new residents. As a result, population growth </w:t>
      </w:r>
      <w:r w:rsidR="00102D89">
        <w:t xml:space="preserve">is projected to </w:t>
      </w:r>
      <w:r>
        <w:t xml:space="preserve">remain above the </w:t>
      </w:r>
      <w:r w:rsidR="007136B4">
        <w:t>US</w:t>
      </w:r>
      <w:r>
        <w:t xml:space="preserve"> average. </w:t>
      </w:r>
    </w:p>
    <w:p w14:paraId="59FD65E6" w14:textId="42AECCD0" w:rsidR="000A5D90" w:rsidRDefault="000A5D90" w:rsidP="000A5D90">
      <w:r>
        <w:t xml:space="preserve">Additional businesses and a growing population are expected to provide a boost to energy sales. From 2019-2029, total energy sales are projected to grow at an average annual rate </w:t>
      </w:r>
      <w:r w:rsidR="001545D2">
        <w:t xml:space="preserve">of 0.7%. </w:t>
      </w:r>
      <w:r w:rsidR="007630BF">
        <w:t>R</w:t>
      </w:r>
      <w:r>
        <w:t>esidential sales are expected to grow by an average of 1.2% per year over this period as the increase in the number of customers outpaces</w:t>
      </w:r>
      <w:r w:rsidRPr="00292918">
        <w:t xml:space="preserve"> </w:t>
      </w:r>
      <w:r>
        <w:t>the reduction in use per customer resulting from energy efficiency. Industrial sales are expected to increase at an average annual rate of 1.0%</w:t>
      </w:r>
      <w:r w:rsidR="000D08BC">
        <w:t xml:space="preserve"> primarily</w:t>
      </w:r>
      <w:r>
        <w:t xml:space="preserve"> due to the addition of a very large customer. Sales to the commercial class are expected to remain </w:t>
      </w:r>
      <w:r w:rsidR="000D08BC">
        <w:t xml:space="preserve">nearly </w:t>
      </w:r>
      <w:r>
        <w:t xml:space="preserve">flat, declining by an average of -0.1% per year due in part to increased energy efficiency. Peak demand is expected to increase at an average rate of 0.5% per year. Although </w:t>
      </w:r>
      <w:r w:rsidRPr="004D74FE">
        <w:t>Georgia Power is expected to remain a summer-peaking utility over the forecast horizon, the differences between summer and winter peaks are expected to narrow.</w:t>
      </w:r>
    </w:p>
    <w:p w14:paraId="3DA4E2CE" w14:textId="76B5D228" w:rsidR="00ED6150" w:rsidRDefault="009A6959" w:rsidP="00817EA7">
      <w:pPr>
        <w:pStyle w:val="Heading2"/>
      </w:pPr>
      <w:bookmarkStart w:id="77" w:name="_Toc536209136"/>
      <w:r>
        <w:t>Forecast Assumptions and Methods</w:t>
      </w:r>
      <w:bookmarkEnd w:id="77"/>
    </w:p>
    <w:p w14:paraId="799DD2D2" w14:textId="20546B35" w:rsidR="00ED6150" w:rsidRDefault="00ED6150" w:rsidP="006549EE">
      <w:r>
        <w:t xml:space="preserve">Budget 2019 assumptions were developed through a joint effort of Georgia Power and SCS. The </w:t>
      </w:r>
      <w:r w:rsidR="008A57FA">
        <w:t>load</w:t>
      </w:r>
      <w:r w:rsidR="00102D89">
        <w:t xml:space="preserve"> and </w:t>
      </w:r>
      <w:r w:rsidR="00694846">
        <w:t xml:space="preserve">energy forecasts were developed </w:t>
      </w:r>
      <w:r>
        <w:t xml:space="preserve">through careful consideration and methodical examination of key demographic and economic variables that historically have been significant indicators of energy consumption. Major assumptions include the economic outlook for the </w:t>
      </w:r>
      <w:r w:rsidR="007136B4">
        <w:t>United States</w:t>
      </w:r>
      <w:r>
        <w:t xml:space="preserve"> and Georgia, energy prices, and market profiles for class </w:t>
      </w:r>
      <w:r w:rsidR="00694846">
        <w:t>end-uses</w:t>
      </w:r>
      <w:r>
        <w:t>.</w:t>
      </w:r>
    </w:p>
    <w:p w14:paraId="36ADC843" w14:textId="1B0883FB" w:rsidR="00ED6150" w:rsidRDefault="00ED6150" w:rsidP="006549EE">
      <w:r>
        <w:t>The economic forecast gives a description of the economy for the next 20 years and includes many elements of the economy such as gross product, population, employment, commercial building square footage, and industrial production. The economic and demographic forecasts for Budget 2019 were obtained from IHS Markit, a national provider of economic data and forecasts.</w:t>
      </w:r>
    </w:p>
    <w:p w14:paraId="43E8837D" w14:textId="08BDF73B" w:rsidR="00ED6150" w:rsidRDefault="00ED6150" w:rsidP="006549EE">
      <w:r>
        <w:t>The models used to produce both the short</w:t>
      </w:r>
      <w:r w:rsidR="00B25D93">
        <w:t>-</w:t>
      </w:r>
      <w:r>
        <w:t xml:space="preserve"> and long-term energy forecasts include a variety of economic and demographic variables as drivers of energy use. Weather, income, employment, historical load data, and industry standards for electrical equipment are among the variables used in the forecasting models. “Normal” weather is defined as the average of Cooling Degree Hours (“CDH”) and Heating Degree </w:t>
      </w:r>
      <w:r w:rsidR="00B25D93">
        <w:t>Hours (“HDH”) from 1980-2017.</w:t>
      </w:r>
    </w:p>
    <w:p w14:paraId="4A092162" w14:textId="22F1563D" w:rsidR="00ED6150" w:rsidRDefault="00ED6150" w:rsidP="006549EE">
      <w:bookmarkStart w:id="78" w:name="_Hlk529821734"/>
      <w:r>
        <w:t xml:space="preserve">Short-term energy projections </w:t>
      </w:r>
      <w:r w:rsidR="00292918">
        <w:t>for the residential, commercial and industrial</w:t>
      </w:r>
      <w:r w:rsidR="000D08BC">
        <w:t xml:space="preserve"> classes</w:t>
      </w:r>
      <w:r w:rsidR="00292918">
        <w:t xml:space="preserve"> </w:t>
      </w:r>
      <w:r>
        <w:t>are based on linear regression models</w:t>
      </w:r>
      <w:bookmarkEnd w:id="78"/>
      <w:r>
        <w:t xml:space="preserve">. </w:t>
      </w:r>
      <w:r w:rsidR="00292918">
        <w:t xml:space="preserve">The short-term and long-term MARTA and governmental lighting forecasts are based on econometric models and information provided by Georgia Power field personnel. </w:t>
      </w:r>
      <w:r>
        <w:t xml:space="preserve">The details of these </w:t>
      </w:r>
      <w:r w:rsidR="00292918">
        <w:t xml:space="preserve">forecast </w:t>
      </w:r>
      <w:r>
        <w:t xml:space="preserve">models can be found in Section 4 of the Budget 2019 </w:t>
      </w:r>
      <w:r w:rsidR="008A57FA">
        <w:t>Load</w:t>
      </w:r>
      <w:r w:rsidR="00C33C80">
        <w:t xml:space="preserve"> </w:t>
      </w:r>
      <w:r>
        <w:t>and Energy Forecast</w:t>
      </w:r>
      <w:r w:rsidR="00083A3E">
        <w:t>s</w:t>
      </w:r>
      <w:r>
        <w:t xml:space="preserve"> found in Technical Appendix Volume </w:t>
      </w:r>
      <w:r w:rsidR="00B25D93">
        <w:t>1</w:t>
      </w:r>
      <w:r>
        <w:t>.</w:t>
      </w:r>
    </w:p>
    <w:p w14:paraId="5B5297AC" w14:textId="616F04F0" w:rsidR="00ED6150" w:rsidRDefault="00ED6150" w:rsidP="006549EE">
      <w:r>
        <w:t>The long-term forecast models are end-use models. Budget 2019 uses the Load Management Analysis and Planning (“LoadMAP”) model to produce the long-term residential, commercial</w:t>
      </w:r>
      <w:r w:rsidR="00B25D93">
        <w:t>,</w:t>
      </w:r>
      <w:r>
        <w:t xml:space="preserve"> and industrial forecasts. The LoadMAP tool is discussed in greater detail in Section 5 of the Budget 2019 </w:t>
      </w:r>
      <w:r w:rsidR="008A57FA">
        <w:t>Load</w:t>
      </w:r>
      <w:r w:rsidR="00C33C80">
        <w:t xml:space="preserve"> </w:t>
      </w:r>
      <w:r>
        <w:t>and Energy Forecast</w:t>
      </w:r>
      <w:r w:rsidR="00083A3E">
        <w:t>s</w:t>
      </w:r>
      <w:r>
        <w:t xml:space="preserve">, found in Technical Appendix Volume </w:t>
      </w:r>
      <w:r w:rsidR="00B25D93">
        <w:t>1</w:t>
      </w:r>
      <w:r>
        <w:t>.</w:t>
      </w:r>
    </w:p>
    <w:p w14:paraId="0D73AB74" w14:textId="038CB879" w:rsidR="00ED6150" w:rsidRDefault="00ED6150" w:rsidP="006549EE">
      <w:r>
        <w:t xml:space="preserve">The results of the short-term and long-term models are integrated into a unified forecast. In Budget 2019, the short-term forecast results were used for the years 2019 through 2021 and the long-term results from 2022 to 2038. Additional information on </w:t>
      </w:r>
      <w:r w:rsidR="007A4C53">
        <w:t xml:space="preserve">forecasting </w:t>
      </w:r>
      <w:r>
        <w:t xml:space="preserve">methodology can be found in Section 3 of the Budget 2019 </w:t>
      </w:r>
      <w:r w:rsidR="008A57FA">
        <w:t>Load</w:t>
      </w:r>
      <w:r w:rsidR="00C33C80">
        <w:t xml:space="preserve"> </w:t>
      </w:r>
      <w:r>
        <w:t>and Energy Forecast</w:t>
      </w:r>
      <w:r w:rsidR="00083A3E">
        <w:t>s</w:t>
      </w:r>
      <w:r>
        <w:t>, found in Technical Appendix Volume</w:t>
      </w:r>
      <w:r w:rsidR="007A4C53">
        <w:t> </w:t>
      </w:r>
      <w:r w:rsidR="00B25D93">
        <w:t>1</w:t>
      </w:r>
      <w:r>
        <w:t>.</w:t>
      </w:r>
    </w:p>
    <w:p w14:paraId="1B3A4A1A" w14:textId="36D042AE" w:rsidR="00B25D93" w:rsidRDefault="00ED6150" w:rsidP="006549EE">
      <w:r>
        <w:t xml:space="preserve">Budget 2019 uses the Peak Demand Model (“PDM”) to predict Georgia Power’s </w:t>
      </w:r>
      <w:r w:rsidR="00E145A6">
        <w:t>weather</w:t>
      </w:r>
      <w:r w:rsidR="009A6959">
        <w:t>-</w:t>
      </w:r>
      <w:r w:rsidR="00E145A6">
        <w:t xml:space="preserve">normal </w:t>
      </w:r>
      <w:r>
        <w:t>peak demands</w:t>
      </w:r>
      <w:r w:rsidR="005E178E">
        <w:t>. T</w:t>
      </w:r>
      <w:r>
        <w:t xml:space="preserve">he methodology and assumptions used in the PDM are discussed in greater detail in Section 6 of the Budget 2019 </w:t>
      </w:r>
      <w:r w:rsidR="008A57FA">
        <w:t>Load</w:t>
      </w:r>
      <w:r w:rsidR="00C33C80">
        <w:t xml:space="preserve"> </w:t>
      </w:r>
      <w:r>
        <w:t>and Energy Forecast</w:t>
      </w:r>
      <w:r w:rsidR="00083A3E">
        <w:t>s</w:t>
      </w:r>
      <w:r>
        <w:t xml:space="preserve">, found in Technical Appendix Volume </w:t>
      </w:r>
      <w:r w:rsidR="00B25D93">
        <w:t>1</w:t>
      </w:r>
      <w:r>
        <w:t>.</w:t>
      </w:r>
    </w:p>
    <w:p w14:paraId="41EA1FF5" w14:textId="77777777" w:rsidR="00B25D93" w:rsidRDefault="00B25D93" w:rsidP="006549EE">
      <w:r>
        <w:br w:type="page"/>
      </w:r>
    </w:p>
    <w:p w14:paraId="5816789C" w14:textId="4C13FA3E" w:rsidR="00DF1C07" w:rsidRDefault="00DF1C07" w:rsidP="00593BD0">
      <w:pPr>
        <w:pStyle w:val="Heading1"/>
      </w:pPr>
      <w:bookmarkStart w:id="79" w:name="_Ref527106110"/>
      <w:bookmarkStart w:id="80" w:name="_Ref527116000"/>
      <w:bookmarkStart w:id="81" w:name="_Ref532998480"/>
      <w:bookmarkStart w:id="82" w:name="_Ref532998593"/>
      <w:bookmarkStart w:id="83" w:name="_Ref532998616"/>
      <w:bookmarkStart w:id="84" w:name="_Ref532998657"/>
      <w:bookmarkStart w:id="85" w:name="_Ref534642063"/>
      <w:bookmarkStart w:id="86" w:name="_Toc536209137"/>
      <w:r>
        <w:t>DEMAND-SIDE STRATEGY</w:t>
      </w:r>
      <w:bookmarkEnd w:id="79"/>
      <w:bookmarkEnd w:id="80"/>
      <w:bookmarkEnd w:id="81"/>
      <w:bookmarkEnd w:id="82"/>
      <w:bookmarkEnd w:id="83"/>
      <w:bookmarkEnd w:id="84"/>
      <w:bookmarkEnd w:id="85"/>
      <w:bookmarkEnd w:id="86"/>
    </w:p>
    <w:p w14:paraId="1BAD3E1D" w14:textId="77777777" w:rsidR="00F4498A" w:rsidRPr="006D2A1C" w:rsidRDefault="00F4498A" w:rsidP="00F4498A">
      <w:pPr>
        <w:rPr>
          <w:rFonts w:eastAsia="Arial" w:cs="Times New Roman"/>
          <w:color w:val="4D4D4D"/>
        </w:rPr>
      </w:pPr>
      <w:r w:rsidRPr="006D2A1C">
        <w:rPr>
          <w:rFonts w:eastAsia="Arial" w:cs="Times New Roman"/>
          <w:color w:val="4D4D4D"/>
        </w:rPr>
        <w:t xml:space="preserve">This </w:t>
      </w:r>
      <w:r>
        <w:rPr>
          <w:rFonts w:eastAsia="Arial" w:cs="Times New Roman"/>
          <w:color w:val="4D4D4D"/>
        </w:rPr>
        <w:t>c</w:t>
      </w:r>
      <w:r w:rsidRPr="006D2A1C">
        <w:rPr>
          <w:rFonts w:eastAsia="Arial" w:cs="Times New Roman"/>
          <w:color w:val="4D4D4D"/>
        </w:rPr>
        <w:t>hapter summarizes the process used to assess demand-side resources for Georgia Power’s 2019 IRP filing. Included in this section are:</w:t>
      </w:r>
    </w:p>
    <w:p w14:paraId="60348DAA" w14:textId="77777777" w:rsidR="00F4498A" w:rsidRPr="006D2A1C" w:rsidRDefault="00F4498A" w:rsidP="00DD00CB">
      <w:pPr>
        <w:numPr>
          <w:ilvl w:val="0"/>
          <w:numId w:val="15"/>
        </w:numPr>
        <w:contextualSpacing/>
        <w:rPr>
          <w:rFonts w:eastAsia="Arial" w:cs="Times New Roman"/>
          <w:color w:val="4D4D4D"/>
        </w:rPr>
      </w:pPr>
      <w:r w:rsidRPr="006D2A1C">
        <w:rPr>
          <w:rFonts w:eastAsia="Arial" w:cs="Times New Roman"/>
          <w:color w:val="4D4D4D"/>
        </w:rPr>
        <w:t xml:space="preserve">A review of significant events since the Company’s 2016 IRP filing that are relevant to the screening and assessment of demand-side resources; </w:t>
      </w:r>
    </w:p>
    <w:p w14:paraId="5B2B9643" w14:textId="27BE9D5C" w:rsidR="00F4498A" w:rsidRPr="006D2A1C" w:rsidRDefault="008539CA" w:rsidP="00DD00CB">
      <w:pPr>
        <w:numPr>
          <w:ilvl w:val="0"/>
          <w:numId w:val="15"/>
        </w:numPr>
        <w:contextualSpacing/>
        <w:rPr>
          <w:rFonts w:eastAsia="Arial" w:cs="Times New Roman"/>
          <w:color w:val="4D4D4D"/>
        </w:rPr>
      </w:pPr>
      <w:r>
        <w:rPr>
          <w:rFonts w:eastAsia="Arial" w:cs="Times New Roman"/>
          <w:color w:val="4D4D4D"/>
        </w:rPr>
        <w:t>A summary of n</w:t>
      </w:r>
      <w:r w:rsidR="00F4498A" w:rsidRPr="006D2A1C">
        <w:rPr>
          <w:rFonts w:eastAsia="Arial" w:cs="Times New Roman"/>
          <w:color w:val="4D4D4D"/>
        </w:rPr>
        <w:t>ewly proposed DSM programs, changes to existing programs, and recommended decertification of programs;</w:t>
      </w:r>
    </w:p>
    <w:p w14:paraId="32306A92" w14:textId="77777777" w:rsidR="00F4498A" w:rsidRPr="006D2A1C" w:rsidRDefault="00F4498A" w:rsidP="00DD00CB">
      <w:pPr>
        <w:numPr>
          <w:ilvl w:val="0"/>
          <w:numId w:val="15"/>
        </w:numPr>
        <w:contextualSpacing/>
        <w:rPr>
          <w:rFonts w:eastAsia="Arial" w:cs="Times New Roman"/>
          <w:color w:val="4D4D4D"/>
        </w:rPr>
      </w:pPr>
      <w:r w:rsidRPr="006D2A1C">
        <w:rPr>
          <w:rFonts w:eastAsia="Arial" w:cs="Times New Roman"/>
          <w:color w:val="4D4D4D"/>
        </w:rPr>
        <w:t>A discussion of the regulatory treatment of DSM program costs and the additional sum; and</w:t>
      </w:r>
    </w:p>
    <w:p w14:paraId="067541E7" w14:textId="77777777" w:rsidR="00F4498A" w:rsidRPr="006D2A1C" w:rsidRDefault="00F4498A" w:rsidP="00DD00CB">
      <w:pPr>
        <w:numPr>
          <w:ilvl w:val="0"/>
          <w:numId w:val="15"/>
        </w:numPr>
        <w:rPr>
          <w:rFonts w:eastAsia="Arial" w:cs="Times New Roman"/>
          <w:color w:val="4D4D4D"/>
        </w:rPr>
      </w:pPr>
      <w:r w:rsidRPr="006D2A1C">
        <w:rPr>
          <w:rFonts w:eastAsia="Arial" w:cs="Times New Roman"/>
          <w:color w:val="4D4D4D"/>
        </w:rPr>
        <w:t>A presentation of the economic results of DSM programs for this IRP.</w:t>
      </w:r>
    </w:p>
    <w:p w14:paraId="07990563" w14:textId="798E17C0" w:rsidR="00024A73" w:rsidRDefault="00F4498A" w:rsidP="00F4498A">
      <w:r w:rsidRPr="006D2A1C">
        <w:rPr>
          <w:rFonts w:eastAsia="Arial" w:cs="Times New Roman"/>
          <w:color w:val="4D4D4D"/>
        </w:rPr>
        <w:t xml:space="preserve">The identification and evaluation of demand-side resources for inclusion in this IRP involves market considerations, such as customer acceptance and applicability, customer economics, and </w:t>
      </w:r>
      <w:r w:rsidRPr="00AE1072">
        <w:t>electric supply economics</w:t>
      </w:r>
      <w:r>
        <w:t>, using</w:t>
      </w:r>
      <w:r w:rsidRPr="00AE1072">
        <w:t xml:space="preserve"> marginal costs in the analysis. </w:t>
      </w:r>
      <w:r>
        <w:t xml:space="preserve">As </w:t>
      </w:r>
      <w:r w:rsidRPr="00AE1072">
        <w:t xml:space="preserve">outlined in the </w:t>
      </w:r>
      <w:r>
        <w:t>2016</w:t>
      </w:r>
      <w:r w:rsidRPr="00AE1072">
        <w:t xml:space="preserve"> IRP Order</w:t>
      </w:r>
      <w:r>
        <w:t>,</w:t>
      </w:r>
      <w:r w:rsidRPr="00AE1072">
        <w:t xml:space="preserve"> </w:t>
      </w:r>
      <w:r>
        <w:t>t</w:t>
      </w:r>
      <w:r w:rsidRPr="00AE1072">
        <w:t xml:space="preserve">he Company followed the process outlined in the Commission’s IRP </w:t>
      </w:r>
      <w:r w:rsidR="008539CA">
        <w:t>r</w:t>
      </w:r>
      <w:r w:rsidRPr="00AE1072">
        <w:t xml:space="preserve">ules and the DSM Program Planning Approach, which </w:t>
      </w:r>
      <w:r>
        <w:t>are</w:t>
      </w:r>
      <w:r w:rsidRPr="00AE1072">
        <w:t xml:space="preserve"> discussed in more detail in later sections of this filing.</w:t>
      </w:r>
    </w:p>
    <w:p w14:paraId="47F4945C" w14:textId="77777777" w:rsidR="00F4498A" w:rsidRPr="00AE1072" w:rsidRDefault="00F4498A" w:rsidP="00F4498A">
      <w:pPr>
        <w:pStyle w:val="Heading2"/>
        <w:rPr>
          <w:rFonts w:eastAsia="Times New Roman"/>
        </w:rPr>
      </w:pPr>
      <w:bookmarkStart w:id="87" w:name="_Toc533166542"/>
      <w:bookmarkStart w:id="88" w:name="_Toc536209138"/>
      <w:bookmarkStart w:id="89" w:name="_Toc347116295"/>
      <w:bookmarkStart w:id="90" w:name="_Toc432681234"/>
      <w:bookmarkStart w:id="91" w:name="_Toc441582900"/>
      <w:r>
        <w:rPr>
          <w:rFonts w:eastAsia="Times New Roman"/>
        </w:rPr>
        <w:t>Review of Significant Events Since the 2016 IRP</w:t>
      </w:r>
      <w:bookmarkEnd w:id="87"/>
      <w:bookmarkEnd w:id="88"/>
    </w:p>
    <w:p w14:paraId="0CEC6C82" w14:textId="77777777" w:rsidR="00F4498A" w:rsidRPr="00AE1072" w:rsidRDefault="00F4498A" w:rsidP="00F4498A">
      <w:r>
        <w:t>Following the 2016 IRP Order</w:t>
      </w:r>
      <w:r w:rsidRPr="00AE1072">
        <w:t xml:space="preserve">, </w:t>
      </w:r>
      <w:r>
        <w:t xml:space="preserve">the following </w:t>
      </w:r>
      <w:r w:rsidRPr="00AE1072">
        <w:t xml:space="preserve">events have </w:t>
      </w:r>
      <w:r>
        <w:t>influenced</w:t>
      </w:r>
      <w:r w:rsidRPr="00AE1072">
        <w:t xml:space="preserve"> </w:t>
      </w:r>
      <w:r>
        <w:t>Georgia Power’s</w:t>
      </w:r>
      <w:r w:rsidRPr="00AE1072">
        <w:t xml:space="preserve"> screening of demand-side resources</w:t>
      </w:r>
      <w:r>
        <w:t>:</w:t>
      </w:r>
      <w:r w:rsidRPr="00AE1072">
        <w:t xml:space="preserve"> </w:t>
      </w:r>
    </w:p>
    <w:p w14:paraId="650B7DF5" w14:textId="77777777" w:rsidR="00F4498A" w:rsidRPr="00024A73" w:rsidRDefault="00F4498A" w:rsidP="00F4498A">
      <w:pPr>
        <w:pStyle w:val="Heading3"/>
      </w:pPr>
      <w:bookmarkStart w:id="92" w:name="_Toc347116294"/>
      <w:bookmarkStart w:id="93" w:name="_Toc432681233"/>
      <w:bookmarkStart w:id="94" w:name="_Toc441582899"/>
      <w:r w:rsidRPr="00024A73">
        <w:t>2016 IRP Filing Approval</w:t>
      </w:r>
      <w:bookmarkEnd w:id="92"/>
      <w:bookmarkEnd w:id="93"/>
      <w:bookmarkEnd w:id="94"/>
    </w:p>
    <w:p w14:paraId="04EC0BD4" w14:textId="77777777" w:rsidR="00F4498A" w:rsidRPr="006D2A1C" w:rsidRDefault="00F4498A" w:rsidP="00F4498A">
      <w:pPr>
        <w:rPr>
          <w:rFonts w:eastAsia="Arial" w:cs="Times New Roman"/>
          <w:color w:val="4D4D4D"/>
        </w:rPr>
      </w:pPr>
      <w:r w:rsidRPr="006D2A1C">
        <w:rPr>
          <w:rFonts w:eastAsia="Arial" w:cs="Times New Roman"/>
          <w:color w:val="4D4D4D"/>
        </w:rPr>
        <w:t xml:space="preserve">In the 2016 IRP Order, the Commission decertified </w:t>
      </w:r>
      <w:r>
        <w:rPr>
          <w:rFonts w:eastAsia="Arial" w:cs="Times New Roman"/>
          <w:color w:val="4D4D4D"/>
        </w:rPr>
        <w:t>two</w:t>
      </w:r>
      <w:r w:rsidRPr="006D2A1C">
        <w:rPr>
          <w:rFonts w:eastAsia="Arial" w:cs="Times New Roman"/>
          <w:color w:val="4D4D4D"/>
        </w:rPr>
        <w:t xml:space="preserve"> program</w:t>
      </w:r>
      <w:r>
        <w:rPr>
          <w:rFonts w:eastAsia="Arial" w:cs="Times New Roman"/>
          <w:color w:val="4D4D4D"/>
        </w:rPr>
        <w:t>s</w:t>
      </w:r>
      <w:r w:rsidRPr="006D2A1C">
        <w:rPr>
          <w:rFonts w:eastAsia="Arial" w:cs="Times New Roman"/>
          <w:color w:val="4D4D4D"/>
        </w:rPr>
        <w:t xml:space="preserve">, amended the certificates of </w:t>
      </w:r>
      <w:r>
        <w:rPr>
          <w:rFonts w:eastAsia="Arial" w:cs="Times New Roman"/>
          <w:color w:val="4D4D4D"/>
        </w:rPr>
        <w:t>six</w:t>
      </w:r>
      <w:r w:rsidRPr="006D2A1C">
        <w:rPr>
          <w:rFonts w:eastAsia="Arial" w:cs="Times New Roman"/>
          <w:color w:val="4D4D4D"/>
        </w:rPr>
        <w:t xml:space="preserve"> programs, and certified </w:t>
      </w:r>
      <w:r>
        <w:rPr>
          <w:rFonts w:eastAsia="Arial" w:cs="Times New Roman"/>
          <w:color w:val="4D4D4D"/>
        </w:rPr>
        <w:t>four</w:t>
      </w:r>
      <w:r w:rsidRPr="006D2A1C">
        <w:rPr>
          <w:rFonts w:eastAsia="Arial" w:cs="Times New Roman"/>
          <w:color w:val="4D4D4D"/>
        </w:rPr>
        <w:t xml:space="preserve"> new program</w:t>
      </w:r>
      <w:r>
        <w:rPr>
          <w:rFonts w:eastAsia="Arial" w:cs="Times New Roman"/>
          <w:color w:val="4D4D4D"/>
        </w:rPr>
        <w:t>s</w:t>
      </w:r>
      <w:r w:rsidRPr="006D2A1C">
        <w:rPr>
          <w:rFonts w:eastAsia="Arial" w:cs="Times New Roman"/>
          <w:color w:val="4D4D4D"/>
        </w:rPr>
        <w:t xml:space="preserve"> in the Company’s DSM portfolio. The 2016 IRP Order approved program plans for the following programs:</w:t>
      </w:r>
    </w:p>
    <w:p w14:paraId="6E8E861A" w14:textId="77777777" w:rsidR="00F4498A" w:rsidRPr="006D2A1C" w:rsidRDefault="00F4498A" w:rsidP="00F4498A">
      <w:pPr>
        <w:rPr>
          <w:rFonts w:eastAsia="Arial" w:cs="Times New Roman"/>
          <w:color w:val="4D4D4D"/>
        </w:rPr>
      </w:pPr>
      <w:r w:rsidRPr="006D2A1C">
        <w:rPr>
          <w:rFonts w:eastAsia="Arial" w:cs="Times New Roman"/>
          <w:color w:val="4D4D4D"/>
        </w:rPr>
        <w:t>Residential Programs:</w:t>
      </w:r>
    </w:p>
    <w:p w14:paraId="6CBB7539" w14:textId="77777777" w:rsidR="00F4498A" w:rsidRPr="006D2A1C" w:rsidRDefault="00F4498A" w:rsidP="00DD00CB">
      <w:pPr>
        <w:numPr>
          <w:ilvl w:val="0"/>
          <w:numId w:val="16"/>
        </w:numPr>
        <w:contextualSpacing/>
        <w:rPr>
          <w:rFonts w:eastAsia="Arial" w:cs="Times New Roman"/>
          <w:color w:val="4D4D4D"/>
        </w:rPr>
      </w:pPr>
      <w:r w:rsidRPr="006D2A1C">
        <w:rPr>
          <w:rFonts w:eastAsia="Arial" w:cs="Times New Roman"/>
          <w:color w:val="4D4D4D"/>
        </w:rPr>
        <w:t xml:space="preserve">Behavioral </w:t>
      </w:r>
    </w:p>
    <w:p w14:paraId="6E8D0D8E" w14:textId="77777777" w:rsidR="00F4498A" w:rsidRPr="006D2A1C" w:rsidRDefault="00F4498A" w:rsidP="00DD00CB">
      <w:pPr>
        <w:numPr>
          <w:ilvl w:val="0"/>
          <w:numId w:val="16"/>
        </w:numPr>
        <w:contextualSpacing/>
        <w:rPr>
          <w:rFonts w:eastAsia="Arial" w:cs="Times New Roman"/>
          <w:color w:val="4D4D4D"/>
        </w:rPr>
      </w:pPr>
      <w:r w:rsidRPr="006D2A1C">
        <w:rPr>
          <w:rFonts w:eastAsia="Arial" w:cs="Times New Roman"/>
          <w:color w:val="4D4D4D"/>
        </w:rPr>
        <w:t>EarthCents New Home</w:t>
      </w:r>
    </w:p>
    <w:p w14:paraId="344DF88C" w14:textId="77777777" w:rsidR="00F4498A" w:rsidRPr="006D2A1C" w:rsidRDefault="00F4498A" w:rsidP="00DD00CB">
      <w:pPr>
        <w:numPr>
          <w:ilvl w:val="0"/>
          <w:numId w:val="16"/>
        </w:numPr>
        <w:contextualSpacing/>
        <w:rPr>
          <w:rFonts w:eastAsia="Arial" w:cs="Times New Roman"/>
          <w:color w:val="4D4D4D"/>
        </w:rPr>
      </w:pPr>
      <w:r w:rsidRPr="006D2A1C">
        <w:rPr>
          <w:rFonts w:eastAsia="Arial" w:cs="Times New Roman"/>
          <w:color w:val="4D4D4D"/>
        </w:rPr>
        <w:t>Home Energy Improvement</w:t>
      </w:r>
    </w:p>
    <w:p w14:paraId="2E44E55B" w14:textId="77777777" w:rsidR="00F4498A" w:rsidRPr="006D2A1C" w:rsidRDefault="00F4498A" w:rsidP="00DD00CB">
      <w:pPr>
        <w:numPr>
          <w:ilvl w:val="0"/>
          <w:numId w:val="16"/>
        </w:numPr>
        <w:contextualSpacing/>
        <w:rPr>
          <w:rFonts w:eastAsia="Arial" w:cs="Times New Roman"/>
          <w:color w:val="4D4D4D"/>
        </w:rPr>
      </w:pPr>
      <w:r w:rsidRPr="006D2A1C">
        <w:rPr>
          <w:rFonts w:eastAsia="Arial" w:cs="Times New Roman"/>
          <w:color w:val="4D4D4D"/>
        </w:rPr>
        <w:t>Heating, Ventilation, and Air Conditioning (“HVAC”) Service</w:t>
      </w:r>
    </w:p>
    <w:p w14:paraId="241FAD60" w14:textId="77777777" w:rsidR="00F4498A" w:rsidRPr="006D2A1C" w:rsidRDefault="00F4498A" w:rsidP="00DD00CB">
      <w:pPr>
        <w:numPr>
          <w:ilvl w:val="0"/>
          <w:numId w:val="16"/>
        </w:numPr>
        <w:contextualSpacing/>
        <w:rPr>
          <w:rFonts w:eastAsia="Arial" w:cs="Times New Roman"/>
          <w:color w:val="4D4D4D"/>
        </w:rPr>
      </w:pPr>
      <w:r w:rsidRPr="006D2A1C">
        <w:rPr>
          <w:rFonts w:eastAsia="Arial" w:cs="Times New Roman"/>
          <w:color w:val="4D4D4D"/>
        </w:rPr>
        <w:t xml:space="preserve">Lighting </w:t>
      </w:r>
    </w:p>
    <w:p w14:paraId="56AA355B" w14:textId="77777777" w:rsidR="00F4498A" w:rsidRPr="006D2A1C" w:rsidRDefault="00F4498A" w:rsidP="00DD00CB">
      <w:pPr>
        <w:numPr>
          <w:ilvl w:val="0"/>
          <w:numId w:val="16"/>
        </w:numPr>
        <w:rPr>
          <w:rFonts w:eastAsia="Arial" w:cs="Times New Roman"/>
          <w:color w:val="4D4D4D"/>
        </w:rPr>
      </w:pPr>
      <w:bookmarkStart w:id="95" w:name="_Toc432681238"/>
      <w:bookmarkStart w:id="96" w:name="_Toc441582903"/>
      <w:bookmarkStart w:id="97" w:name="_Toc347116298"/>
      <w:bookmarkEnd w:id="89"/>
      <w:bookmarkEnd w:id="90"/>
      <w:bookmarkEnd w:id="91"/>
      <w:r w:rsidRPr="006D2A1C">
        <w:rPr>
          <w:rFonts w:eastAsia="Arial" w:cs="Times New Roman"/>
          <w:color w:val="4D4D4D"/>
        </w:rPr>
        <w:t>Refrigerator/Freezer Recycling</w:t>
      </w:r>
    </w:p>
    <w:p w14:paraId="5ACDC4CA" w14:textId="77777777" w:rsidR="00F4498A" w:rsidRPr="006D2A1C" w:rsidRDefault="00F4498A" w:rsidP="00F4498A">
      <w:pPr>
        <w:rPr>
          <w:rFonts w:eastAsia="Arial" w:cs="Times New Roman"/>
          <w:color w:val="4D4D4D"/>
        </w:rPr>
      </w:pPr>
      <w:r w:rsidRPr="006D2A1C">
        <w:rPr>
          <w:rFonts w:eastAsia="Arial" w:cs="Times New Roman"/>
          <w:color w:val="4D4D4D"/>
        </w:rPr>
        <w:t>Commercial Programs:</w:t>
      </w:r>
    </w:p>
    <w:p w14:paraId="23036655" w14:textId="77777777" w:rsidR="00F4498A" w:rsidRPr="006D2A1C" w:rsidRDefault="00F4498A" w:rsidP="00DD00CB">
      <w:pPr>
        <w:numPr>
          <w:ilvl w:val="0"/>
          <w:numId w:val="17"/>
        </w:numPr>
        <w:contextualSpacing/>
        <w:rPr>
          <w:rFonts w:eastAsia="Arial" w:cs="Times New Roman"/>
          <w:color w:val="4D4D4D"/>
        </w:rPr>
      </w:pPr>
      <w:r w:rsidRPr="006D2A1C">
        <w:rPr>
          <w:rFonts w:eastAsia="Arial" w:cs="Times New Roman"/>
          <w:color w:val="4D4D4D"/>
        </w:rPr>
        <w:t xml:space="preserve">Custom </w:t>
      </w:r>
    </w:p>
    <w:p w14:paraId="54798266" w14:textId="77777777" w:rsidR="00F4498A" w:rsidRPr="006D2A1C" w:rsidRDefault="00F4498A" w:rsidP="00DD00CB">
      <w:pPr>
        <w:numPr>
          <w:ilvl w:val="0"/>
          <w:numId w:val="17"/>
        </w:numPr>
        <w:contextualSpacing/>
        <w:rPr>
          <w:rFonts w:eastAsia="Arial" w:cs="Times New Roman"/>
          <w:color w:val="4D4D4D"/>
        </w:rPr>
      </w:pPr>
      <w:r w:rsidRPr="006D2A1C">
        <w:rPr>
          <w:rFonts w:eastAsia="Arial" w:cs="Times New Roman"/>
          <w:color w:val="4D4D4D"/>
        </w:rPr>
        <w:t>HVAC</w:t>
      </w:r>
    </w:p>
    <w:p w14:paraId="548C73BF" w14:textId="77777777" w:rsidR="00F4498A" w:rsidRPr="006D2A1C" w:rsidRDefault="00F4498A" w:rsidP="00DD00CB">
      <w:pPr>
        <w:numPr>
          <w:ilvl w:val="0"/>
          <w:numId w:val="17"/>
        </w:numPr>
        <w:contextualSpacing/>
        <w:rPr>
          <w:rFonts w:eastAsia="Arial" w:cs="Times New Roman"/>
          <w:color w:val="4D4D4D"/>
        </w:rPr>
      </w:pPr>
      <w:r w:rsidRPr="006D2A1C">
        <w:rPr>
          <w:rFonts w:eastAsia="Arial" w:cs="Times New Roman"/>
          <w:color w:val="4D4D4D"/>
        </w:rPr>
        <w:t>Prescriptive</w:t>
      </w:r>
    </w:p>
    <w:p w14:paraId="2B41476C" w14:textId="77777777" w:rsidR="00F4498A" w:rsidRPr="006D2A1C" w:rsidRDefault="00F4498A" w:rsidP="00DD00CB">
      <w:pPr>
        <w:numPr>
          <w:ilvl w:val="0"/>
          <w:numId w:val="17"/>
        </w:numPr>
        <w:rPr>
          <w:rFonts w:eastAsia="Arial" w:cs="Times New Roman"/>
          <w:color w:val="4D4D4D"/>
        </w:rPr>
      </w:pPr>
      <w:r w:rsidRPr="006D2A1C">
        <w:rPr>
          <w:rFonts w:eastAsia="Arial" w:cs="Times New Roman"/>
          <w:color w:val="4D4D4D"/>
        </w:rPr>
        <w:t>Small Commercial Direct Install</w:t>
      </w:r>
    </w:p>
    <w:p w14:paraId="602881EA" w14:textId="77777777" w:rsidR="00F4498A" w:rsidRPr="00024A73" w:rsidRDefault="00F4498A" w:rsidP="00F4498A">
      <w:pPr>
        <w:pStyle w:val="Heading3"/>
      </w:pPr>
      <w:r w:rsidRPr="00024A73">
        <w:t>Program Evaluation Results</w:t>
      </w:r>
    </w:p>
    <w:p w14:paraId="0D0CE034" w14:textId="77777777" w:rsidR="00F4498A" w:rsidRPr="006D2A1C" w:rsidRDefault="00F4498A" w:rsidP="00F4498A">
      <w:pPr>
        <w:rPr>
          <w:rFonts w:eastAsia="Arial" w:cs="Times New Roman"/>
          <w:color w:val="4D4D4D"/>
        </w:rPr>
      </w:pPr>
      <w:bookmarkStart w:id="98" w:name="_Toc347116297"/>
      <w:bookmarkStart w:id="99" w:name="_Toc347116296"/>
      <w:bookmarkStart w:id="100" w:name="_Toc432681236"/>
      <w:bookmarkStart w:id="101" w:name="_Toc441582901"/>
      <w:r w:rsidRPr="006D2A1C">
        <w:rPr>
          <w:rFonts w:eastAsia="Arial" w:cs="Times New Roman"/>
          <w:color w:val="4D4D4D"/>
        </w:rPr>
        <w:t xml:space="preserve">As specified in the 2016 IRP Order, process and impact evaluations were to be performed on each of the ten certified DSM programs prior to the 2019 IRP. </w:t>
      </w:r>
      <w:r>
        <w:rPr>
          <w:rFonts w:eastAsia="Arial" w:cs="Times New Roman"/>
          <w:color w:val="4D4D4D"/>
        </w:rPr>
        <w:t>The</w:t>
      </w:r>
      <w:r w:rsidRPr="006D2A1C">
        <w:rPr>
          <w:rFonts w:eastAsia="Arial" w:cs="Times New Roman"/>
          <w:color w:val="4D4D4D"/>
        </w:rPr>
        <w:t xml:space="preserve"> Company developed and filed a program evaluation plan with the Commission in 2017 and completed and filed the program evaluation results in 2018.</w:t>
      </w:r>
    </w:p>
    <w:p w14:paraId="4201EE7A" w14:textId="0520009B" w:rsidR="00F4498A" w:rsidRPr="006D2A1C" w:rsidRDefault="00F4498A" w:rsidP="00F4498A">
      <w:pPr>
        <w:rPr>
          <w:rFonts w:eastAsia="Arial" w:cs="Times New Roman"/>
          <w:color w:val="4D4D4D"/>
        </w:rPr>
      </w:pPr>
      <w:r w:rsidRPr="006D2A1C">
        <w:rPr>
          <w:rFonts w:eastAsia="Arial" w:cs="Times New Roman"/>
          <w:color w:val="4D4D4D"/>
        </w:rPr>
        <w:t>The Company selected Nexant</w:t>
      </w:r>
      <w:r>
        <w:rPr>
          <w:rFonts w:eastAsia="Arial" w:cs="Times New Roman"/>
          <w:color w:val="4D4D4D"/>
        </w:rPr>
        <w:t xml:space="preserve"> and Illume</w:t>
      </w:r>
      <w:r w:rsidRPr="006D2A1C">
        <w:rPr>
          <w:rFonts w:eastAsia="Arial" w:cs="Times New Roman"/>
          <w:color w:val="4D4D4D"/>
        </w:rPr>
        <w:t xml:space="preserve"> to perform the</w:t>
      </w:r>
      <w:r>
        <w:rPr>
          <w:rFonts w:eastAsia="Arial" w:cs="Times New Roman"/>
          <w:color w:val="4D4D4D"/>
        </w:rPr>
        <w:t>se</w:t>
      </w:r>
      <w:r w:rsidRPr="006D2A1C">
        <w:rPr>
          <w:rFonts w:eastAsia="Arial" w:cs="Times New Roman"/>
          <w:color w:val="4D4D4D"/>
        </w:rPr>
        <w:t xml:space="preserve"> program evaluations. Program evaluations were completed and filed on August 14, 2018. The results were considered in the development of the 2019 IRP, as well as the program plans in the Company’s 2019 DSM </w:t>
      </w:r>
      <w:r w:rsidR="008539CA">
        <w:rPr>
          <w:rFonts w:eastAsia="Arial" w:cs="Times New Roman"/>
          <w:color w:val="4D4D4D"/>
        </w:rPr>
        <w:t xml:space="preserve">Certification </w:t>
      </w:r>
      <w:r w:rsidRPr="006D2A1C">
        <w:rPr>
          <w:rFonts w:eastAsia="Arial" w:cs="Times New Roman"/>
          <w:color w:val="4D4D4D"/>
        </w:rPr>
        <w:t>Application.</w:t>
      </w:r>
    </w:p>
    <w:bookmarkEnd w:id="98"/>
    <w:bookmarkEnd w:id="99"/>
    <w:p w14:paraId="5F269203" w14:textId="77777777" w:rsidR="00F4498A" w:rsidRPr="00024A73" w:rsidRDefault="00F4498A" w:rsidP="00F4498A">
      <w:pPr>
        <w:pStyle w:val="Heading3"/>
      </w:pPr>
      <w:r w:rsidRPr="00024A73">
        <w:t>DSM Program Planning Approach</w:t>
      </w:r>
      <w:bookmarkEnd w:id="100"/>
      <w:bookmarkEnd w:id="101"/>
    </w:p>
    <w:p w14:paraId="31382886" w14:textId="3C67981B" w:rsidR="008036A8" w:rsidRPr="006D2A1C" w:rsidRDefault="00F4498A" w:rsidP="00F4498A">
      <w:pPr>
        <w:rPr>
          <w:rFonts w:eastAsia="Arial" w:cs="Times New Roman"/>
          <w:color w:val="4D4D4D"/>
        </w:rPr>
      </w:pPr>
      <w:r w:rsidRPr="006D2A1C">
        <w:rPr>
          <w:rFonts w:eastAsia="Arial" w:cs="Times New Roman"/>
          <w:color w:val="4D4D4D"/>
        </w:rPr>
        <w:t xml:space="preserve">Originating from the 2010 IRP Order and reaffirmed in the 2016 IRP Order, the Commission approved the </w:t>
      </w:r>
      <w:r w:rsidR="00843F7D">
        <w:rPr>
          <w:rFonts w:eastAsia="Arial" w:cs="Times New Roman"/>
          <w:color w:val="4D4D4D"/>
        </w:rPr>
        <w:t>n</w:t>
      </w:r>
      <w:r w:rsidRPr="006D2A1C">
        <w:rPr>
          <w:rFonts w:eastAsia="Arial" w:cs="Times New Roman"/>
          <w:color w:val="4D4D4D"/>
        </w:rPr>
        <w:t xml:space="preserve">ine </w:t>
      </w:r>
      <w:r w:rsidR="00843F7D">
        <w:rPr>
          <w:rFonts w:eastAsia="Arial" w:cs="Times New Roman"/>
          <w:color w:val="4D4D4D"/>
        </w:rPr>
        <w:t>st</w:t>
      </w:r>
      <w:r w:rsidRPr="006D2A1C">
        <w:rPr>
          <w:rFonts w:eastAsia="Arial" w:cs="Times New Roman"/>
          <w:color w:val="4D4D4D"/>
        </w:rPr>
        <w:t xml:space="preserve">ep DSM Planning Process (renamed the “DSM Program Planning Approach”) that guided the development of the Company’s </w:t>
      </w:r>
      <w:r>
        <w:rPr>
          <w:rFonts w:eastAsia="Arial" w:cs="Times New Roman"/>
          <w:color w:val="4D4D4D"/>
        </w:rPr>
        <w:t>2019</w:t>
      </w:r>
      <w:r w:rsidRPr="006D2A1C">
        <w:rPr>
          <w:rFonts w:eastAsia="Arial" w:cs="Times New Roman"/>
          <w:color w:val="4D4D4D"/>
        </w:rPr>
        <w:t xml:space="preserve"> IRP and DSM Certification plans. In addition, the Company met with the DSMWG eight times in 2017 and 2018 in an effort to collaboratively develop program concepts for </w:t>
      </w:r>
      <w:r>
        <w:rPr>
          <w:rFonts w:eastAsia="Arial" w:cs="Times New Roman"/>
          <w:color w:val="4D4D4D"/>
        </w:rPr>
        <w:t xml:space="preserve">the </w:t>
      </w:r>
      <w:r w:rsidRPr="006D2A1C">
        <w:rPr>
          <w:rFonts w:eastAsia="Arial" w:cs="Times New Roman"/>
          <w:color w:val="4D4D4D"/>
        </w:rPr>
        <w:t>2019 IRP. The Company met with DSMWG subcommittees in 2018 to discuss DSM program concepts and modeling of a DSM sensitivity case proposed by certain members of the DSMWG. Finally, the Company hosted several conference calls and shared data with the DSMWG in preparation for, and leading up to, the 2019 IRP filing.</w:t>
      </w:r>
    </w:p>
    <w:p w14:paraId="05852348" w14:textId="4CA33DC9" w:rsidR="00024A73" w:rsidRPr="00024A73" w:rsidRDefault="00024A73" w:rsidP="00817EA7">
      <w:pPr>
        <w:pStyle w:val="Heading3"/>
      </w:pPr>
      <w:r w:rsidRPr="00024A73">
        <w:t>Continued IRP Avoided Cost/Fuel Price Decreases</w:t>
      </w:r>
      <w:bookmarkEnd w:id="95"/>
      <w:bookmarkEnd w:id="96"/>
      <w:bookmarkEnd w:id="97"/>
    </w:p>
    <w:p w14:paraId="62B10A2B" w14:textId="7D892564" w:rsidR="00F4498A" w:rsidRPr="006122AC" w:rsidRDefault="00F4498A" w:rsidP="00F4498A">
      <w:pPr>
        <w:rPr>
          <w:rFonts w:cs="Arial"/>
        </w:rPr>
      </w:pPr>
      <w:bookmarkStart w:id="102" w:name="_Toc432681239"/>
      <w:r>
        <w:rPr>
          <w:rFonts w:cs="Arial"/>
        </w:rPr>
        <w:t xml:space="preserve">The overall decline in the cost of fuel has reduced the marginal cost of generating energy. As a result, Georgia Power’s diverse system has allowed the Company to generate more energy from the system’s natural gas units relative to coal units. The lower cost of fuel not only saves customers money, but also lowers the Company’s avoided cost. </w:t>
      </w:r>
      <w:r w:rsidRPr="006122AC">
        <w:rPr>
          <w:rFonts w:cs="Arial"/>
        </w:rPr>
        <w:t>With these lower avoided costs, the value of each kWh saved as a result DSM participation has declined significantly</w:t>
      </w:r>
      <w:r w:rsidR="006574C8">
        <w:rPr>
          <w:rFonts w:cs="Arial"/>
        </w:rPr>
        <w:t>.</w:t>
      </w:r>
    </w:p>
    <w:p w14:paraId="3A82BB26" w14:textId="59E76392" w:rsidR="008036A8" w:rsidRPr="006D2A1C" w:rsidRDefault="00F4498A" w:rsidP="00F4498A">
      <w:pPr>
        <w:rPr>
          <w:rFonts w:eastAsia="Arial" w:cs="Times New Roman"/>
          <w:color w:val="4D4D4D"/>
        </w:rPr>
      </w:pPr>
      <w:r>
        <w:rPr>
          <w:rFonts w:cs="Arial"/>
        </w:rPr>
        <w:t>These changes in avoided cost savings have a negative impact on the economics of the Company’s current and proposed DSM programs. The Company’s Proposed Case highlights that TRC Test results declined and RIM Test results worsened, causing concerns for the Company in its efforts to balance the economic benefits these programs provide for participating customers, with the rate impacts to all customers, whether they participate in the programs or not.</w:t>
      </w:r>
    </w:p>
    <w:p w14:paraId="085ECD99" w14:textId="16963506" w:rsidR="00024A73" w:rsidRPr="00AE1072" w:rsidRDefault="00B97523" w:rsidP="00817EA7">
      <w:pPr>
        <w:pStyle w:val="Heading2"/>
        <w:rPr>
          <w:rFonts w:eastAsia="Times New Roman"/>
        </w:rPr>
      </w:pPr>
      <w:bookmarkStart w:id="103" w:name="_Toc536209139"/>
      <w:bookmarkEnd w:id="102"/>
      <w:r>
        <w:rPr>
          <w:rFonts w:eastAsia="Times New Roman"/>
        </w:rPr>
        <w:t>Discussion of Current and Proposed DSM Programs</w:t>
      </w:r>
      <w:bookmarkEnd w:id="103"/>
    </w:p>
    <w:p w14:paraId="6FA62E24" w14:textId="77777777" w:rsidR="009C3295" w:rsidRPr="006D2A1C" w:rsidRDefault="009C3295" w:rsidP="00817EA7">
      <w:pPr>
        <w:pStyle w:val="Heading3"/>
      </w:pPr>
      <w:bookmarkStart w:id="104" w:name="_Toc347116301"/>
      <w:bookmarkStart w:id="105" w:name="_Toc347116303"/>
      <w:bookmarkStart w:id="106" w:name="_Toc432681241"/>
      <w:bookmarkStart w:id="107" w:name="_Toc441582906"/>
      <w:r w:rsidRPr="006D2A1C">
        <w:t>Residential DSM Programs</w:t>
      </w:r>
      <w:bookmarkEnd w:id="104"/>
    </w:p>
    <w:p w14:paraId="4F505AF1" w14:textId="107E0190" w:rsidR="00F4498A" w:rsidRPr="006D2A1C" w:rsidDel="00817F03" w:rsidRDefault="00F4498A" w:rsidP="00F4498A">
      <w:pPr>
        <w:rPr>
          <w:rFonts w:eastAsia="Arial" w:cs="Times New Roman"/>
          <w:color w:val="4D4D4D"/>
        </w:rPr>
      </w:pPr>
      <w:r w:rsidRPr="006D2A1C">
        <w:rPr>
          <w:rFonts w:eastAsia="Arial" w:cs="Times New Roman"/>
          <w:color w:val="4D4D4D"/>
        </w:rPr>
        <w:t xml:space="preserve">In its 2019 DSM </w:t>
      </w:r>
      <w:r w:rsidR="00893F11">
        <w:rPr>
          <w:rFonts w:eastAsia="Arial" w:cs="Times New Roman"/>
          <w:color w:val="4D4D4D"/>
        </w:rPr>
        <w:t xml:space="preserve">Certification </w:t>
      </w:r>
      <w:r w:rsidRPr="006D2A1C">
        <w:rPr>
          <w:rFonts w:eastAsia="Arial" w:cs="Times New Roman"/>
          <w:color w:val="4D4D4D"/>
        </w:rPr>
        <w:t xml:space="preserve">Application, the Company requests the following actions or adjustments for the following </w:t>
      </w:r>
      <w:r>
        <w:rPr>
          <w:rFonts w:eastAsia="Arial" w:cs="Times New Roman"/>
          <w:color w:val="4D4D4D"/>
        </w:rPr>
        <w:t>residential</w:t>
      </w:r>
      <w:r w:rsidRPr="006D2A1C">
        <w:rPr>
          <w:rFonts w:eastAsia="Arial" w:cs="Times New Roman"/>
          <w:color w:val="4D4D4D"/>
        </w:rPr>
        <w:t xml:space="preserve"> DSM programs</w:t>
      </w:r>
      <w:r>
        <w:rPr>
          <w:rFonts w:eastAsia="Arial" w:cs="Times New Roman"/>
          <w:color w:val="4D4D4D"/>
        </w:rPr>
        <w:t>:</w:t>
      </w:r>
      <w:r w:rsidRPr="006D2A1C" w:rsidDel="00931832">
        <w:rPr>
          <w:rFonts w:eastAsia="Arial" w:cs="Times New Roman"/>
          <w:color w:val="4D4D4D"/>
        </w:rPr>
        <w:t xml:space="preserve"> </w:t>
      </w:r>
    </w:p>
    <w:tbl>
      <w:tblPr>
        <w:tblStyle w:val="TableGrid1"/>
        <w:tblW w:w="5000" w:type="pct"/>
        <w:tblLook w:val="04A0" w:firstRow="1" w:lastRow="0" w:firstColumn="1" w:lastColumn="0" w:noHBand="0" w:noVBand="1"/>
      </w:tblPr>
      <w:tblGrid>
        <w:gridCol w:w="4855"/>
        <w:gridCol w:w="1260"/>
        <w:gridCol w:w="3235"/>
      </w:tblGrid>
      <w:tr w:rsidR="00F4498A" w:rsidRPr="008036A8" w14:paraId="3477DCCE" w14:textId="77777777" w:rsidTr="00531EB7">
        <w:trPr>
          <w:trHeight w:val="315"/>
        </w:trPr>
        <w:tc>
          <w:tcPr>
            <w:tcW w:w="2596" w:type="pct"/>
            <w:vAlign w:val="center"/>
            <w:hideMark/>
          </w:tcPr>
          <w:p w14:paraId="58BDB022" w14:textId="77777777" w:rsidR="00F4498A" w:rsidRPr="008036A8" w:rsidRDefault="00F4498A" w:rsidP="00531EB7">
            <w:pPr>
              <w:spacing w:after="0" w:line="240" w:lineRule="auto"/>
              <w:jc w:val="left"/>
              <w:rPr>
                <w:rFonts w:cs="Arial"/>
                <w:b/>
                <w:bCs/>
                <w:color w:val="4D4D4D"/>
                <w:sz w:val="22"/>
              </w:rPr>
            </w:pPr>
            <w:bookmarkStart w:id="108" w:name="_Hlk535325400"/>
            <w:r w:rsidRPr="008036A8">
              <w:rPr>
                <w:rFonts w:cs="Times New Roman"/>
                <w:b/>
                <w:bCs/>
                <w:color w:val="4D4D4D"/>
                <w:sz w:val="22"/>
              </w:rPr>
              <w:t>Residential Program</w:t>
            </w:r>
          </w:p>
        </w:tc>
        <w:tc>
          <w:tcPr>
            <w:tcW w:w="674" w:type="pct"/>
            <w:vAlign w:val="center"/>
            <w:hideMark/>
          </w:tcPr>
          <w:p w14:paraId="001AE75D" w14:textId="77777777" w:rsidR="00F4498A" w:rsidRPr="008036A8" w:rsidRDefault="00F4498A" w:rsidP="00531EB7">
            <w:pPr>
              <w:spacing w:after="0" w:line="240" w:lineRule="auto"/>
              <w:jc w:val="left"/>
              <w:rPr>
                <w:rFonts w:cs="Arial"/>
                <w:b/>
                <w:bCs/>
                <w:color w:val="4D4D4D"/>
                <w:sz w:val="22"/>
              </w:rPr>
            </w:pPr>
            <w:r w:rsidRPr="008036A8">
              <w:rPr>
                <w:rFonts w:cs="Times New Roman"/>
                <w:b/>
                <w:bCs/>
                <w:color w:val="4D4D4D"/>
                <w:sz w:val="22"/>
              </w:rPr>
              <w:t>Status</w:t>
            </w:r>
          </w:p>
        </w:tc>
        <w:tc>
          <w:tcPr>
            <w:tcW w:w="1730" w:type="pct"/>
            <w:vAlign w:val="center"/>
            <w:hideMark/>
          </w:tcPr>
          <w:p w14:paraId="232A9A8D" w14:textId="77777777" w:rsidR="00F4498A" w:rsidRPr="008036A8" w:rsidRDefault="00F4498A" w:rsidP="00531EB7">
            <w:pPr>
              <w:spacing w:after="0" w:line="240" w:lineRule="auto"/>
              <w:jc w:val="left"/>
              <w:rPr>
                <w:rFonts w:cs="Arial"/>
                <w:b/>
                <w:bCs/>
                <w:color w:val="4D4D4D"/>
                <w:sz w:val="22"/>
              </w:rPr>
            </w:pPr>
            <w:r w:rsidRPr="008036A8">
              <w:rPr>
                <w:rFonts w:cs="Times New Roman"/>
                <w:b/>
                <w:bCs/>
                <w:color w:val="4D4D4D"/>
                <w:sz w:val="22"/>
              </w:rPr>
              <w:t>Action Requested</w:t>
            </w:r>
          </w:p>
        </w:tc>
      </w:tr>
      <w:tr w:rsidR="00F4498A" w:rsidRPr="008036A8" w14:paraId="3B83E09F" w14:textId="77777777" w:rsidTr="00531EB7">
        <w:trPr>
          <w:trHeight w:val="315"/>
        </w:trPr>
        <w:tc>
          <w:tcPr>
            <w:tcW w:w="2596" w:type="pct"/>
            <w:vAlign w:val="center"/>
            <w:hideMark/>
          </w:tcPr>
          <w:p w14:paraId="755E9AEE"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Behavioral</w:t>
            </w:r>
          </w:p>
        </w:tc>
        <w:tc>
          <w:tcPr>
            <w:tcW w:w="674" w:type="pct"/>
            <w:vAlign w:val="center"/>
            <w:hideMark/>
          </w:tcPr>
          <w:p w14:paraId="496AA355"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Existing</w:t>
            </w:r>
          </w:p>
        </w:tc>
        <w:tc>
          <w:tcPr>
            <w:tcW w:w="1730" w:type="pct"/>
            <w:vAlign w:val="center"/>
            <w:hideMark/>
          </w:tcPr>
          <w:p w14:paraId="1B08CBEC"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Update Program Economics</w:t>
            </w:r>
          </w:p>
        </w:tc>
      </w:tr>
      <w:tr w:rsidR="00F4498A" w:rsidRPr="008036A8" w14:paraId="1D0F4299" w14:textId="77777777" w:rsidTr="00531EB7">
        <w:trPr>
          <w:trHeight w:val="315"/>
        </w:trPr>
        <w:tc>
          <w:tcPr>
            <w:tcW w:w="2596" w:type="pct"/>
            <w:vAlign w:val="center"/>
            <w:hideMark/>
          </w:tcPr>
          <w:p w14:paraId="4D4CFCF7" w14:textId="1CE3C2D1" w:rsidR="00F4498A" w:rsidRPr="008036A8" w:rsidRDefault="00F4498A" w:rsidP="00531EB7">
            <w:pPr>
              <w:spacing w:after="0" w:line="240" w:lineRule="auto"/>
              <w:jc w:val="left"/>
              <w:rPr>
                <w:rFonts w:cs="Arial"/>
                <w:color w:val="4D4D4D"/>
                <w:sz w:val="22"/>
              </w:rPr>
            </w:pPr>
            <w:r w:rsidRPr="008036A8">
              <w:rPr>
                <w:rFonts w:cs="Times New Roman"/>
                <w:color w:val="4D4D4D"/>
                <w:sz w:val="22"/>
              </w:rPr>
              <w:t>EarthCents New Home</w:t>
            </w:r>
          </w:p>
        </w:tc>
        <w:tc>
          <w:tcPr>
            <w:tcW w:w="674" w:type="pct"/>
            <w:vAlign w:val="center"/>
            <w:hideMark/>
          </w:tcPr>
          <w:p w14:paraId="1D917B54"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Existing</w:t>
            </w:r>
          </w:p>
        </w:tc>
        <w:tc>
          <w:tcPr>
            <w:tcW w:w="1730" w:type="pct"/>
            <w:vAlign w:val="center"/>
            <w:hideMark/>
          </w:tcPr>
          <w:p w14:paraId="7135190F"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Decertify</w:t>
            </w:r>
          </w:p>
        </w:tc>
      </w:tr>
      <w:tr w:rsidR="00F4498A" w:rsidRPr="008036A8" w14:paraId="5E7B3C41" w14:textId="77777777" w:rsidTr="00531EB7">
        <w:trPr>
          <w:trHeight w:val="315"/>
        </w:trPr>
        <w:tc>
          <w:tcPr>
            <w:tcW w:w="2596" w:type="pct"/>
            <w:vAlign w:val="center"/>
            <w:hideMark/>
          </w:tcPr>
          <w:p w14:paraId="6D7A9BA8"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Home Energy Improvement</w:t>
            </w:r>
          </w:p>
        </w:tc>
        <w:tc>
          <w:tcPr>
            <w:tcW w:w="674" w:type="pct"/>
            <w:vAlign w:val="center"/>
            <w:hideMark/>
          </w:tcPr>
          <w:p w14:paraId="13B25F17"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Existing</w:t>
            </w:r>
          </w:p>
        </w:tc>
        <w:tc>
          <w:tcPr>
            <w:tcW w:w="1730" w:type="pct"/>
            <w:vAlign w:val="center"/>
            <w:hideMark/>
          </w:tcPr>
          <w:p w14:paraId="3CF6ADED" w14:textId="77777777" w:rsidR="00F4498A" w:rsidRPr="008036A8" w:rsidRDefault="00F4498A" w:rsidP="00531EB7">
            <w:pPr>
              <w:spacing w:after="0" w:line="240" w:lineRule="auto"/>
              <w:jc w:val="left"/>
              <w:rPr>
                <w:rFonts w:cs="Arial"/>
                <w:color w:val="4D4D4D"/>
                <w:sz w:val="22"/>
              </w:rPr>
            </w:pPr>
            <w:r>
              <w:rPr>
                <w:rFonts w:cs="Times New Roman"/>
                <w:color w:val="4D4D4D"/>
                <w:sz w:val="22"/>
              </w:rPr>
              <w:t>Amend the Certificate</w:t>
            </w:r>
          </w:p>
        </w:tc>
      </w:tr>
      <w:tr w:rsidR="00F4498A" w:rsidRPr="008036A8" w14:paraId="02A273D7" w14:textId="77777777" w:rsidTr="00531EB7">
        <w:trPr>
          <w:trHeight w:val="315"/>
        </w:trPr>
        <w:tc>
          <w:tcPr>
            <w:tcW w:w="2596" w:type="pct"/>
            <w:vAlign w:val="center"/>
            <w:hideMark/>
          </w:tcPr>
          <w:p w14:paraId="38C37DAE"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HVAC Service</w:t>
            </w:r>
          </w:p>
        </w:tc>
        <w:tc>
          <w:tcPr>
            <w:tcW w:w="674" w:type="pct"/>
            <w:vAlign w:val="center"/>
            <w:hideMark/>
          </w:tcPr>
          <w:p w14:paraId="3EB93D8C"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Existing</w:t>
            </w:r>
          </w:p>
        </w:tc>
        <w:tc>
          <w:tcPr>
            <w:tcW w:w="1730" w:type="pct"/>
            <w:vAlign w:val="center"/>
            <w:hideMark/>
          </w:tcPr>
          <w:p w14:paraId="637B0CAF"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Decertify</w:t>
            </w:r>
          </w:p>
        </w:tc>
      </w:tr>
      <w:tr w:rsidR="00F4498A" w:rsidRPr="008036A8" w14:paraId="3E890574" w14:textId="77777777" w:rsidTr="00531EB7">
        <w:trPr>
          <w:trHeight w:val="315"/>
        </w:trPr>
        <w:tc>
          <w:tcPr>
            <w:tcW w:w="2596" w:type="pct"/>
            <w:vAlign w:val="center"/>
            <w:hideMark/>
          </w:tcPr>
          <w:p w14:paraId="2D429F8D"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Power Credit</w:t>
            </w:r>
          </w:p>
        </w:tc>
        <w:tc>
          <w:tcPr>
            <w:tcW w:w="674" w:type="pct"/>
            <w:vAlign w:val="center"/>
            <w:hideMark/>
          </w:tcPr>
          <w:p w14:paraId="6FEFB0A6"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Existing</w:t>
            </w:r>
          </w:p>
        </w:tc>
        <w:tc>
          <w:tcPr>
            <w:tcW w:w="1730" w:type="pct"/>
            <w:vAlign w:val="center"/>
            <w:hideMark/>
          </w:tcPr>
          <w:p w14:paraId="5958CBA3"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 xml:space="preserve">No </w:t>
            </w:r>
            <w:r>
              <w:rPr>
                <w:rFonts w:cs="Times New Roman"/>
                <w:color w:val="4D4D4D"/>
                <w:sz w:val="22"/>
              </w:rPr>
              <w:t>C</w:t>
            </w:r>
            <w:r w:rsidRPr="008036A8">
              <w:rPr>
                <w:rFonts w:cs="Times New Roman"/>
                <w:color w:val="4D4D4D"/>
                <w:sz w:val="22"/>
              </w:rPr>
              <w:t xml:space="preserve">hange </w:t>
            </w:r>
            <w:r>
              <w:rPr>
                <w:rFonts w:cs="Times New Roman"/>
                <w:color w:val="4D4D4D"/>
                <w:sz w:val="22"/>
              </w:rPr>
              <w:t>R</w:t>
            </w:r>
            <w:r w:rsidRPr="008036A8">
              <w:rPr>
                <w:rFonts w:cs="Times New Roman"/>
                <w:color w:val="4D4D4D"/>
                <w:sz w:val="22"/>
              </w:rPr>
              <w:t>equested</w:t>
            </w:r>
          </w:p>
        </w:tc>
      </w:tr>
      <w:tr w:rsidR="00F4498A" w:rsidRPr="008036A8" w14:paraId="335B272D" w14:textId="77777777" w:rsidTr="00531EB7">
        <w:trPr>
          <w:trHeight w:val="315"/>
        </w:trPr>
        <w:tc>
          <w:tcPr>
            <w:tcW w:w="2596" w:type="pct"/>
            <w:vAlign w:val="center"/>
            <w:hideMark/>
          </w:tcPr>
          <w:p w14:paraId="29A319CB" w14:textId="77777777" w:rsidR="00F4498A" w:rsidRPr="008036A8" w:rsidRDefault="00F4498A" w:rsidP="00531EB7">
            <w:pPr>
              <w:spacing w:after="0" w:line="240" w:lineRule="auto"/>
              <w:jc w:val="left"/>
              <w:rPr>
                <w:rFonts w:cs="Arial"/>
                <w:color w:val="4D4D4D"/>
                <w:sz w:val="22"/>
              </w:rPr>
            </w:pPr>
            <w:r w:rsidRPr="008036A8">
              <w:rPr>
                <w:rFonts w:eastAsia="Arial" w:cs="Times New Roman"/>
                <w:color w:val="4D4D4D"/>
                <w:sz w:val="22"/>
              </w:rPr>
              <w:t>Refrigerator/Freezer Recycling</w:t>
            </w:r>
          </w:p>
        </w:tc>
        <w:tc>
          <w:tcPr>
            <w:tcW w:w="674" w:type="pct"/>
            <w:vAlign w:val="center"/>
            <w:hideMark/>
          </w:tcPr>
          <w:p w14:paraId="712154BD"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Existing</w:t>
            </w:r>
          </w:p>
        </w:tc>
        <w:tc>
          <w:tcPr>
            <w:tcW w:w="1730" w:type="pct"/>
            <w:vAlign w:val="center"/>
            <w:hideMark/>
          </w:tcPr>
          <w:p w14:paraId="26BCC841" w14:textId="77777777" w:rsidR="00F4498A" w:rsidRPr="008036A8" w:rsidRDefault="00F4498A" w:rsidP="00531EB7">
            <w:pPr>
              <w:spacing w:after="0" w:line="240" w:lineRule="auto"/>
              <w:jc w:val="left"/>
              <w:rPr>
                <w:rFonts w:cs="Arial"/>
                <w:color w:val="4D4D4D"/>
                <w:sz w:val="22"/>
              </w:rPr>
            </w:pPr>
            <w:r w:rsidRPr="008036A8">
              <w:rPr>
                <w:rFonts w:eastAsia="Arial" w:cs="Times New Roman"/>
                <w:color w:val="4D4D4D"/>
                <w:sz w:val="22"/>
              </w:rPr>
              <w:t>Update Program Economics</w:t>
            </w:r>
          </w:p>
        </w:tc>
      </w:tr>
      <w:tr w:rsidR="00F4498A" w:rsidRPr="008036A8" w14:paraId="694A34D8" w14:textId="77777777" w:rsidTr="00531EB7">
        <w:trPr>
          <w:trHeight w:val="315"/>
        </w:trPr>
        <w:tc>
          <w:tcPr>
            <w:tcW w:w="2596" w:type="pct"/>
            <w:vAlign w:val="center"/>
            <w:hideMark/>
          </w:tcPr>
          <w:p w14:paraId="4AFAC0B7" w14:textId="77777777" w:rsidR="00F4498A" w:rsidRPr="008036A8" w:rsidRDefault="00F4498A" w:rsidP="00531EB7">
            <w:pPr>
              <w:spacing w:after="0" w:line="240" w:lineRule="auto"/>
              <w:jc w:val="left"/>
              <w:rPr>
                <w:rFonts w:cs="Arial"/>
                <w:color w:val="4D4D4D"/>
                <w:sz w:val="22"/>
              </w:rPr>
            </w:pPr>
            <w:r>
              <w:rPr>
                <w:rFonts w:cs="Times New Roman"/>
                <w:color w:val="4D4D4D"/>
                <w:sz w:val="22"/>
              </w:rPr>
              <w:t xml:space="preserve">Specialty </w:t>
            </w:r>
            <w:r w:rsidRPr="008036A8">
              <w:rPr>
                <w:rFonts w:cs="Times New Roman"/>
                <w:color w:val="4D4D4D"/>
                <w:sz w:val="22"/>
              </w:rPr>
              <w:t>Lighting</w:t>
            </w:r>
          </w:p>
        </w:tc>
        <w:tc>
          <w:tcPr>
            <w:tcW w:w="674" w:type="pct"/>
            <w:vAlign w:val="center"/>
            <w:hideMark/>
          </w:tcPr>
          <w:p w14:paraId="10BFFE61"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Existing</w:t>
            </w:r>
          </w:p>
        </w:tc>
        <w:tc>
          <w:tcPr>
            <w:tcW w:w="1730" w:type="pct"/>
            <w:vAlign w:val="center"/>
            <w:hideMark/>
          </w:tcPr>
          <w:p w14:paraId="308E972C" w14:textId="77777777" w:rsidR="00F4498A" w:rsidRPr="008036A8" w:rsidRDefault="00F4498A" w:rsidP="00531EB7">
            <w:pPr>
              <w:spacing w:after="0" w:line="240" w:lineRule="auto"/>
              <w:jc w:val="left"/>
              <w:rPr>
                <w:rFonts w:cs="Arial"/>
                <w:color w:val="4D4D4D"/>
                <w:sz w:val="22"/>
              </w:rPr>
            </w:pPr>
            <w:r>
              <w:rPr>
                <w:rFonts w:cs="Times New Roman"/>
                <w:color w:val="4D4D4D"/>
                <w:sz w:val="22"/>
              </w:rPr>
              <w:t>Amend the Certificate</w:t>
            </w:r>
          </w:p>
        </w:tc>
      </w:tr>
      <w:tr w:rsidR="00F4498A" w:rsidRPr="008036A8" w14:paraId="7DB8B5E1" w14:textId="77777777" w:rsidTr="00531EB7">
        <w:trPr>
          <w:trHeight w:val="315"/>
        </w:trPr>
        <w:tc>
          <w:tcPr>
            <w:tcW w:w="2596" w:type="pct"/>
            <w:vAlign w:val="center"/>
            <w:hideMark/>
          </w:tcPr>
          <w:p w14:paraId="5EDA35B5"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Income</w:t>
            </w:r>
            <w:r>
              <w:rPr>
                <w:rFonts w:cs="Times New Roman"/>
                <w:color w:val="4D4D4D"/>
                <w:sz w:val="22"/>
              </w:rPr>
              <w:t>-</w:t>
            </w:r>
            <w:r w:rsidRPr="008036A8">
              <w:rPr>
                <w:rFonts w:cs="Times New Roman"/>
                <w:color w:val="4D4D4D"/>
                <w:sz w:val="22"/>
              </w:rPr>
              <w:t>Qualified (Crowd Funding) </w:t>
            </w:r>
          </w:p>
        </w:tc>
        <w:tc>
          <w:tcPr>
            <w:tcW w:w="674" w:type="pct"/>
            <w:vAlign w:val="center"/>
            <w:hideMark/>
          </w:tcPr>
          <w:p w14:paraId="744B4887"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Proposed</w:t>
            </w:r>
          </w:p>
        </w:tc>
        <w:tc>
          <w:tcPr>
            <w:tcW w:w="1730" w:type="pct"/>
            <w:vAlign w:val="center"/>
            <w:hideMark/>
          </w:tcPr>
          <w:p w14:paraId="072A52D7" w14:textId="77777777" w:rsidR="00F4498A" w:rsidRPr="008036A8" w:rsidRDefault="00F4498A" w:rsidP="00531EB7">
            <w:pPr>
              <w:spacing w:after="0" w:line="240" w:lineRule="auto"/>
              <w:jc w:val="left"/>
              <w:rPr>
                <w:rFonts w:cs="Arial"/>
                <w:color w:val="4D4D4D"/>
                <w:sz w:val="22"/>
              </w:rPr>
            </w:pPr>
            <w:r>
              <w:rPr>
                <w:rFonts w:cs="Times New Roman"/>
                <w:color w:val="4D4D4D"/>
                <w:sz w:val="22"/>
              </w:rPr>
              <w:t>Grant a New Certificate</w:t>
            </w:r>
          </w:p>
        </w:tc>
      </w:tr>
      <w:tr w:rsidR="00F4498A" w:rsidRPr="008036A8" w14:paraId="015FB19B" w14:textId="77777777" w:rsidTr="00531EB7">
        <w:trPr>
          <w:trHeight w:val="315"/>
        </w:trPr>
        <w:tc>
          <w:tcPr>
            <w:tcW w:w="2596" w:type="pct"/>
            <w:vAlign w:val="center"/>
            <w:hideMark/>
          </w:tcPr>
          <w:p w14:paraId="32266649" w14:textId="77777777" w:rsidR="00F4498A" w:rsidRPr="008036A8" w:rsidRDefault="00F4498A" w:rsidP="00531EB7">
            <w:pPr>
              <w:spacing w:after="0" w:line="240" w:lineRule="auto"/>
              <w:jc w:val="left"/>
              <w:rPr>
                <w:rFonts w:cs="Arial"/>
                <w:color w:val="4D4D4D"/>
                <w:sz w:val="22"/>
              </w:rPr>
            </w:pPr>
            <w:bookmarkStart w:id="109" w:name="_Hlk532914069"/>
            <w:r w:rsidRPr="008036A8">
              <w:rPr>
                <w:rFonts w:cs="Times New Roman"/>
                <w:color w:val="4D4D4D"/>
                <w:sz w:val="22"/>
              </w:rPr>
              <w:t>Residential Thermostat Demand Response</w:t>
            </w:r>
          </w:p>
        </w:tc>
        <w:tc>
          <w:tcPr>
            <w:tcW w:w="674" w:type="pct"/>
            <w:vAlign w:val="center"/>
            <w:hideMark/>
          </w:tcPr>
          <w:p w14:paraId="062EC794" w14:textId="77777777" w:rsidR="00F4498A" w:rsidRPr="008036A8" w:rsidRDefault="00F4498A" w:rsidP="00531EB7">
            <w:pPr>
              <w:spacing w:after="0" w:line="240" w:lineRule="auto"/>
              <w:jc w:val="left"/>
              <w:rPr>
                <w:rFonts w:cs="Arial"/>
                <w:color w:val="4D4D4D"/>
                <w:sz w:val="22"/>
              </w:rPr>
            </w:pPr>
            <w:r w:rsidRPr="008036A8">
              <w:rPr>
                <w:rFonts w:cs="Times New Roman"/>
                <w:color w:val="4D4D4D"/>
                <w:sz w:val="22"/>
              </w:rPr>
              <w:t>Proposed</w:t>
            </w:r>
          </w:p>
        </w:tc>
        <w:tc>
          <w:tcPr>
            <w:tcW w:w="1730" w:type="pct"/>
            <w:vAlign w:val="center"/>
            <w:hideMark/>
          </w:tcPr>
          <w:p w14:paraId="4BAB3010" w14:textId="77777777" w:rsidR="00F4498A" w:rsidRPr="008036A8" w:rsidRDefault="00F4498A" w:rsidP="00531EB7">
            <w:pPr>
              <w:spacing w:after="0" w:line="240" w:lineRule="auto"/>
              <w:jc w:val="left"/>
              <w:rPr>
                <w:rFonts w:cs="Arial"/>
                <w:color w:val="4D4D4D"/>
                <w:sz w:val="22"/>
              </w:rPr>
            </w:pPr>
            <w:r>
              <w:rPr>
                <w:rFonts w:cs="Times New Roman"/>
                <w:color w:val="4D4D4D"/>
                <w:sz w:val="22"/>
              </w:rPr>
              <w:t>Grant a New Certificate</w:t>
            </w:r>
          </w:p>
        </w:tc>
      </w:tr>
      <w:bookmarkEnd w:id="108"/>
      <w:bookmarkEnd w:id="109"/>
    </w:tbl>
    <w:p w14:paraId="4F2D27FA" w14:textId="77777777" w:rsidR="00F4498A" w:rsidRPr="008036A8" w:rsidRDefault="00F4498A" w:rsidP="00F4498A">
      <w:pPr>
        <w:rPr>
          <w:rFonts w:eastAsia="Arial" w:cs="Times New Roman"/>
          <w:b/>
          <w:color w:val="4D4D4D"/>
        </w:rPr>
      </w:pPr>
    </w:p>
    <w:p w14:paraId="229E92FA" w14:textId="12638328" w:rsidR="008036A8" w:rsidRPr="004C59A0" w:rsidRDefault="00F4498A" w:rsidP="00F4498A">
      <w:pPr>
        <w:rPr>
          <w:rFonts w:eastAsia="Arial" w:cs="Times New Roman"/>
          <w:color w:val="4D4D4D"/>
        </w:rPr>
      </w:pPr>
      <w:r w:rsidRPr="009C2EEC">
        <w:rPr>
          <w:rFonts w:eastAsia="Arial" w:cs="Times New Roman"/>
          <w:color w:val="4D4D4D"/>
        </w:rPr>
        <w:t xml:space="preserve">The details regarding current and proposed programs are included in Program Plans filed </w:t>
      </w:r>
      <w:r>
        <w:rPr>
          <w:rFonts w:eastAsia="Arial" w:cs="Times New Roman"/>
          <w:color w:val="4D4D4D"/>
        </w:rPr>
        <w:t>within the 2019 DSM Certification Application,</w:t>
      </w:r>
      <w:r w:rsidRPr="009C2EEC">
        <w:rPr>
          <w:rFonts w:eastAsia="Arial" w:cs="Times New Roman"/>
          <w:color w:val="4D4D4D"/>
        </w:rPr>
        <w:t xml:space="preserve"> Docket </w:t>
      </w:r>
      <w:r>
        <w:rPr>
          <w:rFonts w:eastAsia="Arial" w:cs="Times New Roman"/>
          <w:color w:val="4D4D4D"/>
        </w:rPr>
        <w:t xml:space="preserve">No. </w:t>
      </w:r>
      <w:r w:rsidRPr="007D2BEE">
        <w:rPr>
          <w:rFonts w:eastAsia="Arial" w:cs="Times New Roman"/>
          <w:color w:val="4D4D4D"/>
        </w:rPr>
        <w:t>42311</w:t>
      </w:r>
      <w:r w:rsidRPr="009C2EEC">
        <w:rPr>
          <w:rFonts w:eastAsia="Arial" w:cs="Times New Roman"/>
          <w:color w:val="4D4D4D"/>
        </w:rPr>
        <w:t xml:space="preserve">. </w:t>
      </w:r>
      <w:r>
        <w:rPr>
          <w:rFonts w:eastAsia="Arial" w:cs="Times New Roman"/>
          <w:color w:val="4D4D4D"/>
        </w:rPr>
        <w:t>Additional details regarding decertification requests are listed below.</w:t>
      </w:r>
    </w:p>
    <w:bookmarkEnd w:id="105"/>
    <w:bookmarkEnd w:id="106"/>
    <w:bookmarkEnd w:id="107"/>
    <w:p w14:paraId="29262904" w14:textId="77777777" w:rsidR="00F4498A" w:rsidRPr="006D2A1C" w:rsidRDefault="00F4498A" w:rsidP="00F4498A">
      <w:pPr>
        <w:rPr>
          <w:rFonts w:eastAsia="Arial" w:cs="Times New Roman"/>
          <w:color w:val="4D4D4D"/>
        </w:rPr>
      </w:pPr>
      <w:r w:rsidRPr="006D2A1C">
        <w:rPr>
          <w:rFonts w:eastAsia="Arial" w:cs="Times New Roman"/>
          <w:b/>
          <w:color w:val="4D4D4D"/>
        </w:rPr>
        <w:t>EarthCents New Home Program.</w:t>
      </w:r>
      <w:r w:rsidRPr="006D2A1C">
        <w:rPr>
          <w:rFonts w:eastAsia="Arial" w:cs="Times New Roman"/>
          <w:color w:val="4D4D4D"/>
        </w:rPr>
        <w:t xml:space="preserve"> </w:t>
      </w:r>
      <w:bookmarkStart w:id="110" w:name="_Hlk534906335"/>
      <w:r>
        <w:t>The Company requests decertification of this program due to failing program economics.</w:t>
      </w:r>
      <w:bookmarkEnd w:id="110"/>
    </w:p>
    <w:p w14:paraId="3800536C" w14:textId="77777777" w:rsidR="00F4498A" w:rsidRPr="006D2A1C" w:rsidRDefault="00F4498A" w:rsidP="00F4498A">
      <w:pPr>
        <w:rPr>
          <w:rFonts w:eastAsia="Arial" w:cs="Times New Roman"/>
          <w:color w:val="4D4D4D"/>
        </w:rPr>
      </w:pPr>
      <w:r w:rsidRPr="006D2A1C">
        <w:rPr>
          <w:rFonts w:eastAsia="Arial" w:cs="Times New Roman"/>
          <w:b/>
          <w:color w:val="4D4D4D"/>
        </w:rPr>
        <w:t xml:space="preserve">HVAC Service Program. </w:t>
      </w:r>
      <w:r>
        <w:t>The Company requests decertification of this program due to low customer participation rates.</w:t>
      </w:r>
    </w:p>
    <w:p w14:paraId="7F8D2F52" w14:textId="77777777" w:rsidR="00F4498A" w:rsidRPr="006D2A1C" w:rsidRDefault="00F4498A" w:rsidP="00F4498A">
      <w:pPr>
        <w:pStyle w:val="Heading3"/>
      </w:pPr>
      <w:bookmarkStart w:id="111" w:name="_Toc347116302"/>
      <w:r w:rsidRPr="006D2A1C">
        <w:t>Commercial DSM Programs</w:t>
      </w:r>
      <w:bookmarkEnd w:id="111"/>
    </w:p>
    <w:p w14:paraId="665D5BDE" w14:textId="1AD2A1A0" w:rsidR="00F4498A" w:rsidRDefault="00F4498A" w:rsidP="00F4498A">
      <w:pPr>
        <w:rPr>
          <w:rFonts w:eastAsia="Arial" w:cs="Times New Roman"/>
          <w:color w:val="4D4D4D"/>
        </w:rPr>
      </w:pPr>
      <w:r w:rsidRPr="006D2A1C">
        <w:rPr>
          <w:rFonts w:eastAsia="Arial" w:cs="Times New Roman"/>
          <w:color w:val="4D4D4D"/>
        </w:rPr>
        <w:t xml:space="preserve">In its 2019 DSM </w:t>
      </w:r>
      <w:r w:rsidR="00CE1CE1">
        <w:rPr>
          <w:rFonts w:eastAsia="Arial" w:cs="Times New Roman"/>
          <w:color w:val="4D4D4D"/>
        </w:rPr>
        <w:t xml:space="preserve">Certification </w:t>
      </w:r>
      <w:r w:rsidRPr="006D2A1C">
        <w:rPr>
          <w:rFonts w:eastAsia="Arial" w:cs="Times New Roman"/>
          <w:color w:val="4D4D4D"/>
        </w:rPr>
        <w:t>Application, the Company requests the following actions or adjustments for the following commercial DSM programs:</w:t>
      </w:r>
    </w:p>
    <w:tbl>
      <w:tblPr>
        <w:tblStyle w:val="TableGrid1"/>
        <w:tblW w:w="9535" w:type="dxa"/>
        <w:tblLook w:val="04A0" w:firstRow="1" w:lastRow="0" w:firstColumn="1" w:lastColumn="0" w:noHBand="0" w:noVBand="1"/>
      </w:tblPr>
      <w:tblGrid>
        <w:gridCol w:w="4629"/>
        <w:gridCol w:w="1598"/>
        <w:gridCol w:w="3308"/>
      </w:tblGrid>
      <w:tr w:rsidR="00F4498A" w:rsidRPr="00C74110" w14:paraId="4E4ACD88" w14:textId="77777777" w:rsidTr="00531EB7">
        <w:trPr>
          <w:trHeight w:val="288"/>
        </w:trPr>
        <w:tc>
          <w:tcPr>
            <w:tcW w:w="4629" w:type="dxa"/>
            <w:vAlign w:val="center"/>
            <w:hideMark/>
          </w:tcPr>
          <w:p w14:paraId="269A2FE3" w14:textId="77777777" w:rsidR="00F4498A" w:rsidRPr="00C74110" w:rsidRDefault="00F4498A" w:rsidP="00531EB7">
            <w:pPr>
              <w:spacing w:after="0" w:line="240" w:lineRule="auto"/>
              <w:jc w:val="left"/>
              <w:rPr>
                <w:rFonts w:cs="Arial"/>
                <w:b/>
                <w:bCs/>
                <w:color w:val="4D4D4D"/>
                <w:sz w:val="22"/>
              </w:rPr>
            </w:pPr>
            <w:bookmarkStart w:id="112" w:name="_Hlk535325790"/>
            <w:r w:rsidRPr="00C74110">
              <w:rPr>
                <w:rFonts w:cs="Times New Roman"/>
                <w:b/>
                <w:bCs/>
                <w:color w:val="4D4D4D"/>
                <w:sz w:val="22"/>
              </w:rPr>
              <w:t>Commercial Program</w:t>
            </w:r>
          </w:p>
        </w:tc>
        <w:tc>
          <w:tcPr>
            <w:tcW w:w="1598" w:type="dxa"/>
            <w:vAlign w:val="center"/>
            <w:hideMark/>
          </w:tcPr>
          <w:p w14:paraId="042BE1F3" w14:textId="77777777" w:rsidR="00F4498A" w:rsidRPr="00C74110" w:rsidRDefault="00F4498A" w:rsidP="00531EB7">
            <w:pPr>
              <w:spacing w:after="0" w:line="240" w:lineRule="auto"/>
              <w:jc w:val="left"/>
              <w:rPr>
                <w:rFonts w:cs="Arial"/>
                <w:b/>
                <w:bCs/>
                <w:color w:val="4D4D4D"/>
                <w:sz w:val="22"/>
              </w:rPr>
            </w:pPr>
            <w:r w:rsidRPr="00C74110">
              <w:rPr>
                <w:rFonts w:cs="Times New Roman"/>
                <w:b/>
                <w:bCs/>
                <w:color w:val="4D4D4D"/>
                <w:sz w:val="22"/>
              </w:rPr>
              <w:t>Status</w:t>
            </w:r>
          </w:p>
        </w:tc>
        <w:tc>
          <w:tcPr>
            <w:tcW w:w="3308" w:type="dxa"/>
            <w:vAlign w:val="center"/>
            <w:hideMark/>
          </w:tcPr>
          <w:p w14:paraId="2287C986" w14:textId="77777777" w:rsidR="00F4498A" w:rsidRPr="00C74110" w:rsidRDefault="00F4498A" w:rsidP="00531EB7">
            <w:pPr>
              <w:spacing w:after="0" w:line="240" w:lineRule="auto"/>
              <w:jc w:val="left"/>
              <w:rPr>
                <w:rFonts w:cs="Arial"/>
                <w:b/>
                <w:bCs/>
                <w:color w:val="4D4D4D"/>
                <w:sz w:val="22"/>
              </w:rPr>
            </w:pPr>
            <w:r w:rsidRPr="00C74110">
              <w:rPr>
                <w:rFonts w:cs="Times New Roman"/>
                <w:b/>
                <w:bCs/>
                <w:color w:val="4D4D4D"/>
                <w:sz w:val="22"/>
              </w:rPr>
              <w:t>Action Requested</w:t>
            </w:r>
          </w:p>
        </w:tc>
      </w:tr>
      <w:tr w:rsidR="00F4498A" w:rsidRPr="00C74110" w14:paraId="3E151933" w14:textId="77777777" w:rsidTr="00531EB7">
        <w:trPr>
          <w:trHeight w:val="288"/>
        </w:trPr>
        <w:tc>
          <w:tcPr>
            <w:tcW w:w="4629" w:type="dxa"/>
            <w:vAlign w:val="center"/>
            <w:hideMark/>
          </w:tcPr>
          <w:p w14:paraId="26BBA88F" w14:textId="463C2666" w:rsidR="00F4498A" w:rsidRPr="00C74110" w:rsidRDefault="00F4498A" w:rsidP="00531EB7">
            <w:pPr>
              <w:spacing w:after="0" w:line="240" w:lineRule="auto"/>
              <w:jc w:val="left"/>
              <w:rPr>
                <w:rFonts w:cs="Arial"/>
                <w:color w:val="4D4D4D"/>
                <w:sz w:val="22"/>
              </w:rPr>
            </w:pPr>
            <w:r w:rsidRPr="00C74110">
              <w:rPr>
                <w:rFonts w:cs="Times New Roman"/>
                <w:color w:val="4D4D4D"/>
                <w:sz w:val="22"/>
              </w:rPr>
              <w:t>Custom</w:t>
            </w:r>
          </w:p>
        </w:tc>
        <w:tc>
          <w:tcPr>
            <w:tcW w:w="1598" w:type="dxa"/>
            <w:vAlign w:val="center"/>
            <w:hideMark/>
          </w:tcPr>
          <w:p w14:paraId="083E3ABD" w14:textId="77777777" w:rsidR="00F4498A" w:rsidRPr="00C74110" w:rsidRDefault="00F4498A" w:rsidP="00531EB7">
            <w:pPr>
              <w:spacing w:after="0" w:line="240" w:lineRule="auto"/>
              <w:jc w:val="left"/>
              <w:rPr>
                <w:rFonts w:cs="Arial"/>
                <w:color w:val="4D4D4D"/>
                <w:sz w:val="22"/>
              </w:rPr>
            </w:pPr>
            <w:r w:rsidRPr="00C74110">
              <w:rPr>
                <w:rFonts w:cs="Times New Roman"/>
                <w:color w:val="4D4D4D"/>
                <w:sz w:val="22"/>
              </w:rPr>
              <w:t>Existing</w:t>
            </w:r>
          </w:p>
        </w:tc>
        <w:tc>
          <w:tcPr>
            <w:tcW w:w="3308" w:type="dxa"/>
            <w:vAlign w:val="center"/>
            <w:hideMark/>
          </w:tcPr>
          <w:p w14:paraId="56600E65" w14:textId="77777777" w:rsidR="00F4498A" w:rsidRPr="00C74110" w:rsidRDefault="00F4498A" w:rsidP="00531EB7">
            <w:pPr>
              <w:spacing w:after="0" w:line="240" w:lineRule="auto"/>
              <w:jc w:val="left"/>
              <w:rPr>
                <w:rFonts w:cs="Arial"/>
                <w:color w:val="4D4D4D"/>
                <w:sz w:val="22"/>
              </w:rPr>
            </w:pPr>
            <w:r w:rsidRPr="00C74110">
              <w:rPr>
                <w:rFonts w:cs="Times New Roman"/>
                <w:color w:val="4D4D4D"/>
                <w:sz w:val="22"/>
              </w:rPr>
              <w:t>Update Program Economics</w:t>
            </w:r>
          </w:p>
        </w:tc>
      </w:tr>
      <w:tr w:rsidR="00F4498A" w:rsidRPr="00C74110" w14:paraId="6CE807A4" w14:textId="77777777" w:rsidTr="00531EB7">
        <w:trPr>
          <w:trHeight w:val="288"/>
        </w:trPr>
        <w:tc>
          <w:tcPr>
            <w:tcW w:w="4629" w:type="dxa"/>
            <w:vAlign w:val="center"/>
            <w:hideMark/>
          </w:tcPr>
          <w:p w14:paraId="4A749191" w14:textId="096D8AD9" w:rsidR="00F4498A" w:rsidRPr="00C74110" w:rsidRDefault="00F4498A" w:rsidP="00531EB7">
            <w:pPr>
              <w:spacing w:after="0" w:line="240" w:lineRule="auto"/>
              <w:jc w:val="left"/>
              <w:rPr>
                <w:rFonts w:cs="Arial"/>
                <w:color w:val="4D4D4D"/>
                <w:sz w:val="22"/>
              </w:rPr>
            </w:pPr>
            <w:r w:rsidRPr="00C74110">
              <w:rPr>
                <w:rFonts w:cs="Times New Roman"/>
                <w:color w:val="4D4D4D"/>
                <w:sz w:val="22"/>
              </w:rPr>
              <w:t>Midstream Products</w:t>
            </w:r>
          </w:p>
        </w:tc>
        <w:tc>
          <w:tcPr>
            <w:tcW w:w="1598" w:type="dxa"/>
            <w:vAlign w:val="center"/>
            <w:hideMark/>
          </w:tcPr>
          <w:p w14:paraId="750151EC" w14:textId="77777777" w:rsidR="00F4498A" w:rsidRPr="00C74110" w:rsidRDefault="00F4498A" w:rsidP="00531EB7">
            <w:pPr>
              <w:spacing w:after="0" w:line="240" w:lineRule="auto"/>
              <w:jc w:val="left"/>
              <w:rPr>
                <w:rFonts w:cs="Arial"/>
                <w:color w:val="4D4D4D"/>
                <w:sz w:val="22"/>
              </w:rPr>
            </w:pPr>
            <w:r w:rsidRPr="00C74110">
              <w:rPr>
                <w:rFonts w:cs="Times New Roman"/>
                <w:color w:val="4D4D4D"/>
                <w:sz w:val="22"/>
              </w:rPr>
              <w:t>Existing</w:t>
            </w:r>
          </w:p>
        </w:tc>
        <w:tc>
          <w:tcPr>
            <w:tcW w:w="3308" w:type="dxa"/>
            <w:vAlign w:val="center"/>
            <w:hideMark/>
          </w:tcPr>
          <w:p w14:paraId="4EB0BA4D" w14:textId="77777777" w:rsidR="00F4498A" w:rsidRPr="00C74110" w:rsidRDefault="00F4498A" w:rsidP="00531EB7">
            <w:pPr>
              <w:spacing w:after="0" w:line="240" w:lineRule="auto"/>
              <w:jc w:val="left"/>
              <w:rPr>
                <w:rFonts w:cs="Arial"/>
                <w:color w:val="4D4D4D"/>
                <w:sz w:val="22"/>
              </w:rPr>
            </w:pPr>
            <w:r>
              <w:rPr>
                <w:rFonts w:cs="Times New Roman"/>
                <w:color w:val="4D4D4D"/>
                <w:sz w:val="22"/>
              </w:rPr>
              <w:t>Amend the Certificate</w:t>
            </w:r>
          </w:p>
        </w:tc>
      </w:tr>
      <w:tr w:rsidR="00F4498A" w:rsidRPr="00C74110" w14:paraId="2922E755" w14:textId="77777777" w:rsidTr="00531EB7">
        <w:trPr>
          <w:trHeight w:val="288"/>
        </w:trPr>
        <w:tc>
          <w:tcPr>
            <w:tcW w:w="4629" w:type="dxa"/>
            <w:vAlign w:val="center"/>
            <w:hideMark/>
          </w:tcPr>
          <w:p w14:paraId="1C7A1F75" w14:textId="6E9C44A4" w:rsidR="00F4498A" w:rsidRPr="00C74110" w:rsidRDefault="00F4498A" w:rsidP="00531EB7">
            <w:pPr>
              <w:spacing w:after="0" w:line="240" w:lineRule="auto"/>
              <w:jc w:val="left"/>
              <w:rPr>
                <w:rFonts w:cs="Arial"/>
                <w:color w:val="4D4D4D"/>
                <w:sz w:val="22"/>
              </w:rPr>
            </w:pPr>
            <w:r w:rsidRPr="00C74110">
              <w:rPr>
                <w:rFonts w:cs="Times New Roman"/>
                <w:color w:val="4D4D4D"/>
                <w:sz w:val="22"/>
              </w:rPr>
              <w:t>Prescriptive</w:t>
            </w:r>
          </w:p>
        </w:tc>
        <w:tc>
          <w:tcPr>
            <w:tcW w:w="1598" w:type="dxa"/>
            <w:vAlign w:val="center"/>
            <w:hideMark/>
          </w:tcPr>
          <w:p w14:paraId="14158F2B" w14:textId="77777777" w:rsidR="00F4498A" w:rsidRPr="00C74110" w:rsidRDefault="00F4498A" w:rsidP="00531EB7">
            <w:pPr>
              <w:spacing w:after="0" w:line="240" w:lineRule="auto"/>
              <w:jc w:val="left"/>
              <w:rPr>
                <w:rFonts w:cs="Arial"/>
                <w:color w:val="4D4D4D"/>
                <w:sz w:val="22"/>
              </w:rPr>
            </w:pPr>
            <w:r w:rsidRPr="00C74110">
              <w:rPr>
                <w:rFonts w:cs="Times New Roman"/>
                <w:color w:val="4D4D4D"/>
                <w:sz w:val="22"/>
              </w:rPr>
              <w:t>Existing</w:t>
            </w:r>
          </w:p>
        </w:tc>
        <w:tc>
          <w:tcPr>
            <w:tcW w:w="3308" w:type="dxa"/>
            <w:vAlign w:val="center"/>
            <w:hideMark/>
          </w:tcPr>
          <w:p w14:paraId="1A2218EC" w14:textId="77777777" w:rsidR="00F4498A" w:rsidRPr="00C74110" w:rsidRDefault="00F4498A" w:rsidP="00531EB7">
            <w:pPr>
              <w:spacing w:after="0" w:line="240" w:lineRule="auto"/>
              <w:jc w:val="left"/>
              <w:rPr>
                <w:rFonts w:cs="Arial"/>
                <w:color w:val="4D4D4D"/>
                <w:sz w:val="22"/>
              </w:rPr>
            </w:pPr>
            <w:r w:rsidRPr="00C74110">
              <w:rPr>
                <w:rFonts w:cs="Times New Roman"/>
                <w:color w:val="4D4D4D"/>
                <w:sz w:val="22"/>
              </w:rPr>
              <w:t>Update Program Economics</w:t>
            </w:r>
          </w:p>
        </w:tc>
      </w:tr>
      <w:tr w:rsidR="00F4498A" w:rsidRPr="00C74110" w14:paraId="6F01801E" w14:textId="77777777" w:rsidTr="00531EB7">
        <w:trPr>
          <w:trHeight w:val="288"/>
        </w:trPr>
        <w:tc>
          <w:tcPr>
            <w:tcW w:w="4629" w:type="dxa"/>
            <w:vAlign w:val="center"/>
            <w:hideMark/>
          </w:tcPr>
          <w:p w14:paraId="3B117A4D" w14:textId="7C024587" w:rsidR="00F4498A" w:rsidRPr="00C74110" w:rsidRDefault="00F4498A" w:rsidP="00531EB7">
            <w:pPr>
              <w:spacing w:after="0" w:line="240" w:lineRule="auto"/>
              <w:jc w:val="left"/>
              <w:rPr>
                <w:rFonts w:cs="Arial"/>
                <w:color w:val="4D4D4D"/>
                <w:sz w:val="22"/>
              </w:rPr>
            </w:pPr>
            <w:r w:rsidRPr="00C74110">
              <w:rPr>
                <w:rFonts w:cs="Times New Roman"/>
                <w:color w:val="4D4D4D"/>
                <w:sz w:val="22"/>
              </w:rPr>
              <w:t xml:space="preserve">Small Commercial Direct Install </w:t>
            </w:r>
          </w:p>
        </w:tc>
        <w:tc>
          <w:tcPr>
            <w:tcW w:w="1598" w:type="dxa"/>
            <w:vAlign w:val="center"/>
            <w:hideMark/>
          </w:tcPr>
          <w:p w14:paraId="288DAE52" w14:textId="77777777" w:rsidR="00F4498A" w:rsidRPr="00C74110" w:rsidRDefault="00F4498A" w:rsidP="00531EB7">
            <w:pPr>
              <w:spacing w:after="0" w:line="240" w:lineRule="auto"/>
              <w:jc w:val="left"/>
              <w:rPr>
                <w:rFonts w:cs="Arial"/>
                <w:color w:val="4D4D4D"/>
                <w:sz w:val="22"/>
              </w:rPr>
            </w:pPr>
            <w:r w:rsidRPr="00C74110">
              <w:rPr>
                <w:rFonts w:cs="Times New Roman"/>
                <w:color w:val="4D4D4D"/>
                <w:sz w:val="22"/>
              </w:rPr>
              <w:t>Existing</w:t>
            </w:r>
          </w:p>
        </w:tc>
        <w:tc>
          <w:tcPr>
            <w:tcW w:w="3308" w:type="dxa"/>
            <w:vAlign w:val="center"/>
            <w:hideMark/>
          </w:tcPr>
          <w:p w14:paraId="5E654B2A" w14:textId="77777777" w:rsidR="00F4498A" w:rsidRPr="00C74110" w:rsidRDefault="00F4498A" w:rsidP="00531EB7">
            <w:pPr>
              <w:spacing w:after="0" w:line="240" w:lineRule="auto"/>
              <w:jc w:val="left"/>
              <w:rPr>
                <w:rFonts w:cs="Arial"/>
                <w:color w:val="4D4D4D"/>
                <w:sz w:val="22"/>
              </w:rPr>
            </w:pPr>
            <w:r w:rsidRPr="00C74110">
              <w:rPr>
                <w:rFonts w:cs="Times New Roman"/>
                <w:color w:val="4D4D4D"/>
                <w:sz w:val="22"/>
              </w:rPr>
              <w:t>Update Program Economics</w:t>
            </w:r>
          </w:p>
        </w:tc>
      </w:tr>
      <w:tr w:rsidR="00F4498A" w:rsidRPr="00C74110" w14:paraId="6657BA1C" w14:textId="77777777" w:rsidTr="00531EB7">
        <w:trPr>
          <w:trHeight w:val="288"/>
        </w:trPr>
        <w:tc>
          <w:tcPr>
            <w:tcW w:w="4629" w:type="dxa"/>
            <w:vAlign w:val="center"/>
            <w:hideMark/>
          </w:tcPr>
          <w:p w14:paraId="279CF463" w14:textId="6C980821" w:rsidR="00F4498A" w:rsidRPr="00C74110" w:rsidRDefault="00F4498A" w:rsidP="00531EB7">
            <w:pPr>
              <w:spacing w:after="0" w:line="240" w:lineRule="auto"/>
              <w:jc w:val="left"/>
              <w:rPr>
                <w:rFonts w:cs="Arial"/>
                <w:color w:val="4D4D4D"/>
                <w:sz w:val="22"/>
              </w:rPr>
            </w:pPr>
            <w:r w:rsidRPr="00C74110">
              <w:rPr>
                <w:rFonts w:cs="Times New Roman"/>
                <w:color w:val="4D4D4D"/>
                <w:sz w:val="22"/>
              </w:rPr>
              <w:t>Behavioral</w:t>
            </w:r>
          </w:p>
        </w:tc>
        <w:tc>
          <w:tcPr>
            <w:tcW w:w="1598" w:type="dxa"/>
            <w:vAlign w:val="center"/>
            <w:hideMark/>
          </w:tcPr>
          <w:p w14:paraId="4B584C9C" w14:textId="77777777" w:rsidR="00F4498A" w:rsidRPr="00C74110" w:rsidRDefault="00F4498A" w:rsidP="00531EB7">
            <w:pPr>
              <w:spacing w:after="0" w:line="240" w:lineRule="auto"/>
              <w:jc w:val="left"/>
              <w:rPr>
                <w:rFonts w:cs="Arial"/>
                <w:color w:val="4D4D4D"/>
                <w:sz w:val="22"/>
              </w:rPr>
            </w:pPr>
            <w:r w:rsidRPr="00C74110">
              <w:rPr>
                <w:rFonts w:cs="Times New Roman"/>
                <w:color w:val="4D4D4D"/>
                <w:sz w:val="22"/>
              </w:rPr>
              <w:t>Proposed</w:t>
            </w:r>
          </w:p>
        </w:tc>
        <w:tc>
          <w:tcPr>
            <w:tcW w:w="3308" w:type="dxa"/>
            <w:vAlign w:val="center"/>
            <w:hideMark/>
          </w:tcPr>
          <w:p w14:paraId="157FE3ED" w14:textId="77777777" w:rsidR="00F4498A" w:rsidRPr="00C74110" w:rsidRDefault="00F4498A" w:rsidP="00531EB7">
            <w:pPr>
              <w:spacing w:after="0" w:line="240" w:lineRule="auto"/>
              <w:jc w:val="left"/>
              <w:rPr>
                <w:rFonts w:cs="Arial"/>
                <w:color w:val="4D4D4D"/>
                <w:sz w:val="22"/>
              </w:rPr>
            </w:pPr>
            <w:r>
              <w:rPr>
                <w:rFonts w:cs="Times New Roman"/>
                <w:color w:val="4D4D4D"/>
                <w:sz w:val="22"/>
              </w:rPr>
              <w:t>Grant a New Certificate</w:t>
            </w:r>
          </w:p>
        </w:tc>
      </w:tr>
      <w:bookmarkEnd w:id="112"/>
    </w:tbl>
    <w:p w14:paraId="4E8BBB28" w14:textId="77777777" w:rsidR="00F4498A" w:rsidRPr="009C3295" w:rsidRDefault="00F4498A" w:rsidP="00F4498A">
      <w:pPr>
        <w:ind w:left="720"/>
        <w:contextualSpacing/>
        <w:rPr>
          <w:rFonts w:eastAsia="Arial" w:cs="Times New Roman"/>
          <w:color w:val="4D4D4D"/>
        </w:rPr>
      </w:pPr>
    </w:p>
    <w:p w14:paraId="6197D874" w14:textId="77777777" w:rsidR="00F4498A" w:rsidRPr="004C59A0" w:rsidRDefault="00F4498A" w:rsidP="00F4498A">
      <w:pPr>
        <w:rPr>
          <w:rFonts w:eastAsia="Arial" w:cs="Times New Roman"/>
          <w:color w:val="4D4D4D"/>
        </w:rPr>
      </w:pPr>
      <w:r w:rsidRPr="00696321">
        <w:rPr>
          <w:rFonts w:eastAsia="Arial" w:cs="Times New Roman"/>
          <w:color w:val="4D4D4D"/>
        </w:rPr>
        <w:t xml:space="preserve">The details regarding current and proposed programs are included in Program Plans filed </w:t>
      </w:r>
      <w:r>
        <w:rPr>
          <w:rFonts w:eastAsia="Arial" w:cs="Times New Roman"/>
          <w:color w:val="4D4D4D"/>
        </w:rPr>
        <w:t>within the 2019 DSM Certification Application,</w:t>
      </w:r>
      <w:r w:rsidRPr="009C2EEC">
        <w:rPr>
          <w:rFonts w:eastAsia="Arial" w:cs="Times New Roman"/>
          <w:color w:val="4D4D4D"/>
        </w:rPr>
        <w:t xml:space="preserve"> </w:t>
      </w:r>
      <w:r w:rsidRPr="00696321">
        <w:rPr>
          <w:rFonts w:eastAsia="Arial" w:cs="Times New Roman"/>
          <w:color w:val="4D4D4D"/>
        </w:rPr>
        <w:t xml:space="preserve">Docket </w:t>
      </w:r>
      <w:r>
        <w:rPr>
          <w:rFonts w:eastAsia="Arial" w:cs="Times New Roman"/>
          <w:color w:val="4D4D4D"/>
        </w:rPr>
        <w:t>No</w:t>
      </w:r>
      <w:r w:rsidRPr="00F4498A">
        <w:rPr>
          <w:rFonts w:eastAsia="Arial" w:cs="Times New Roman"/>
        </w:rPr>
        <w:t xml:space="preserve">. </w:t>
      </w:r>
      <w:r w:rsidRPr="00F4498A">
        <w:t>42311</w:t>
      </w:r>
      <w:r>
        <w:rPr>
          <w:rFonts w:eastAsia="Arial" w:cs="Times New Roman"/>
          <w:color w:val="4D4D4D"/>
        </w:rPr>
        <w:t>.</w:t>
      </w:r>
    </w:p>
    <w:p w14:paraId="1957BBB3" w14:textId="76EFE186" w:rsidR="00F4498A" w:rsidRDefault="00F4498A" w:rsidP="00F4498A">
      <w:pPr>
        <w:pStyle w:val="Heading3"/>
      </w:pPr>
      <w:r>
        <w:t xml:space="preserve">Low-Income </w:t>
      </w:r>
      <w:r w:rsidRPr="000E4585">
        <w:t>Program</w:t>
      </w:r>
      <w:r w:rsidR="00B74D98">
        <w:t>s</w:t>
      </w:r>
    </w:p>
    <w:p w14:paraId="55C88889" w14:textId="7C97C0D9" w:rsidR="00F4498A" w:rsidRDefault="00F4498A" w:rsidP="00F4498A">
      <w:pPr>
        <w:rPr>
          <w:rFonts w:eastAsia="Arial" w:cs="Times New Roman"/>
          <w:color w:val="4D4D4D"/>
        </w:rPr>
      </w:pPr>
      <w:r>
        <w:t>The Company is seeking to certify a</w:t>
      </w:r>
      <w:r w:rsidR="00893F11">
        <w:t xml:space="preserve">n </w:t>
      </w:r>
      <w:r>
        <w:t xml:space="preserve">income-qualified </w:t>
      </w:r>
      <w:r w:rsidR="00893F11">
        <w:t xml:space="preserve">crowd-funded </w:t>
      </w:r>
      <w:r>
        <w:t xml:space="preserve">program within its residential portfolio. The funding currently earmarked toward the </w:t>
      </w:r>
      <w:r>
        <w:rPr>
          <w:rFonts w:eastAsia="Arial" w:cs="Times New Roman"/>
          <w:color w:val="4D4D4D"/>
        </w:rPr>
        <w:t>Energy Assistance and Savings Program will be repurposed to the new income-qualified crowd funding program.</w:t>
      </w:r>
    </w:p>
    <w:p w14:paraId="2A77E4A1" w14:textId="5E3D89C6" w:rsidR="00C74110" w:rsidRPr="003E7CCE" w:rsidRDefault="00F4498A" w:rsidP="00F4498A">
      <w:pPr>
        <w:rPr>
          <w:rFonts w:eastAsia="Arial" w:cs="Times New Roman"/>
          <w:color w:val="4D4D4D"/>
        </w:rPr>
      </w:pPr>
      <w:r>
        <w:rPr>
          <w:rFonts w:eastAsia="Arial" w:cs="Times New Roman"/>
          <w:color w:val="4D4D4D"/>
        </w:rPr>
        <w:t>The Company will</w:t>
      </w:r>
      <w:r w:rsidR="00B74D98">
        <w:rPr>
          <w:rFonts w:eastAsia="Arial" w:cs="Times New Roman"/>
          <w:color w:val="4D4D4D"/>
        </w:rPr>
        <w:t xml:space="preserve"> also</w:t>
      </w:r>
      <w:r>
        <w:rPr>
          <w:rFonts w:eastAsia="Arial" w:cs="Times New Roman"/>
          <w:color w:val="4D4D4D"/>
        </w:rPr>
        <w:t xml:space="preserve"> continue to seek $250,000 annually to fund </w:t>
      </w:r>
      <w:r w:rsidRPr="003E7CCE">
        <w:rPr>
          <w:rFonts w:eastAsia="Arial" w:cs="Times New Roman"/>
          <w:color w:val="4D4D4D"/>
        </w:rPr>
        <w:t>HopeWorks</w:t>
      </w:r>
      <w:r>
        <w:rPr>
          <w:rFonts w:eastAsia="Arial" w:cs="Times New Roman"/>
          <w:color w:val="4D4D4D"/>
        </w:rPr>
        <w:t>,</w:t>
      </w:r>
      <w:r w:rsidRPr="003E7CCE">
        <w:rPr>
          <w:rFonts w:eastAsia="Arial" w:cs="Times New Roman"/>
          <w:color w:val="4D4D4D"/>
        </w:rPr>
        <w:t xml:space="preserve"> which serves income</w:t>
      </w:r>
      <w:r>
        <w:rPr>
          <w:rFonts w:eastAsia="Arial" w:cs="Times New Roman"/>
          <w:color w:val="4D4D4D"/>
        </w:rPr>
        <w:t>-</w:t>
      </w:r>
      <w:r w:rsidRPr="003E7CCE">
        <w:rPr>
          <w:rFonts w:eastAsia="Arial" w:cs="Times New Roman"/>
          <w:color w:val="4D4D4D"/>
        </w:rPr>
        <w:t>qualified seniors with a complimentary in-home assessment to identify potential energy</w:t>
      </w:r>
      <w:r w:rsidR="00893F11">
        <w:rPr>
          <w:rFonts w:eastAsia="Arial" w:cs="Times New Roman"/>
          <w:color w:val="4D4D4D"/>
        </w:rPr>
        <w:t xml:space="preserve"> </w:t>
      </w:r>
      <w:r w:rsidRPr="003E7CCE">
        <w:rPr>
          <w:rFonts w:eastAsia="Arial" w:cs="Times New Roman"/>
          <w:color w:val="4D4D4D"/>
        </w:rPr>
        <w:t>saving opportunities, followe</w:t>
      </w:r>
      <w:r>
        <w:rPr>
          <w:rFonts w:eastAsia="Arial" w:cs="Times New Roman"/>
          <w:color w:val="4D4D4D"/>
        </w:rPr>
        <w:t>d by home</w:t>
      </w:r>
      <w:r w:rsidR="00893F11">
        <w:rPr>
          <w:rFonts w:eastAsia="Arial" w:cs="Times New Roman"/>
          <w:color w:val="4D4D4D"/>
        </w:rPr>
        <w:t xml:space="preserve"> </w:t>
      </w:r>
      <w:r>
        <w:rPr>
          <w:rFonts w:eastAsia="Arial" w:cs="Times New Roman"/>
          <w:color w:val="4D4D4D"/>
        </w:rPr>
        <w:t>energy improvements.</w:t>
      </w:r>
    </w:p>
    <w:p w14:paraId="548AD0BA" w14:textId="77777777" w:rsidR="00C74110" w:rsidRPr="006D2A1C" w:rsidRDefault="00C74110" w:rsidP="00C74110">
      <w:pPr>
        <w:pStyle w:val="Heading3"/>
      </w:pPr>
      <w:bookmarkStart w:id="113" w:name="_Hlk532912120"/>
      <w:r w:rsidRPr="006D2A1C">
        <w:t>Education Initiative</w:t>
      </w:r>
    </w:p>
    <w:p w14:paraId="113FD216" w14:textId="3A0AAE81" w:rsidR="00F4498A" w:rsidRPr="006D2A1C" w:rsidRDefault="00F4498A" w:rsidP="00F4498A">
      <w:pPr>
        <w:rPr>
          <w:rFonts w:eastAsia="Arial" w:cs="Times New Roman"/>
          <w:color w:val="4D4D4D"/>
        </w:rPr>
      </w:pPr>
      <w:r>
        <w:rPr>
          <w:rFonts w:eastAsia="Arial" w:cs="Times New Roman"/>
          <w:color w:val="4D4D4D"/>
        </w:rPr>
        <w:t xml:space="preserve">Since </w:t>
      </w:r>
      <w:r w:rsidRPr="006D2A1C">
        <w:rPr>
          <w:rFonts w:eastAsia="Arial" w:cs="Times New Roman"/>
          <w:color w:val="4D4D4D"/>
        </w:rPr>
        <w:t xml:space="preserve">2011, the Company </w:t>
      </w:r>
      <w:r>
        <w:rPr>
          <w:rFonts w:eastAsia="Arial" w:cs="Times New Roman"/>
          <w:color w:val="4D4D4D"/>
        </w:rPr>
        <w:t xml:space="preserve">has been delivering </w:t>
      </w:r>
      <w:r w:rsidR="00893F11">
        <w:rPr>
          <w:rFonts w:eastAsia="Arial" w:cs="Times New Roman"/>
          <w:color w:val="4D4D4D"/>
        </w:rPr>
        <w:t xml:space="preserve">the </w:t>
      </w:r>
      <w:r>
        <w:rPr>
          <w:rFonts w:eastAsia="Arial" w:cs="Times New Roman"/>
          <w:color w:val="4D4D4D"/>
        </w:rPr>
        <w:t>Learning Power curriculum throughout the state of Georgia.</w:t>
      </w:r>
      <w:r w:rsidRPr="006D2A1C">
        <w:rPr>
          <w:rFonts w:eastAsia="Arial" w:cs="Times New Roman"/>
          <w:color w:val="4D4D4D"/>
        </w:rPr>
        <w:t xml:space="preserve"> The curriculum promotes an understanding of energy and energy efficiency from a grass roots perspective. Lessons have been developed for grades pre-K-12. The method of delivery is highly interactive and hands-on, with lessons delivered by skilled Georgia Power employees, known as Education Coordinators. </w:t>
      </w:r>
      <w:r w:rsidRPr="00056101">
        <w:rPr>
          <w:rFonts w:eastAsia="Arial" w:cs="Times New Roman"/>
          <w:color w:val="4D4D4D"/>
        </w:rPr>
        <w:t>Education Coordinator</w:t>
      </w:r>
      <w:r>
        <w:rPr>
          <w:rFonts w:eastAsia="Arial" w:cs="Times New Roman"/>
          <w:color w:val="4D4D4D"/>
        </w:rPr>
        <w:t>s</w:t>
      </w:r>
      <w:r w:rsidRPr="00056101">
        <w:rPr>
          <w:rFonts w:eastAsia="Arial" w:cs="Times New Roman"/>
          <w:color w:val="4D4D4D"/>
        </w:rPr>
        <w:t xml:space="preserve"> </w:t>
      </w:r>
      <w:r>
        <w:rPr>
          <w:rFonts w:eastAsia="Arial" w:cs="Times New Roman"/>
          <w:color w:val="4D4D4D"/>
        </w:rPr>
        <w:t>are</w:t>
      </w:r>
      <w:r w:rsidRPr="00056101">
        <w:rPr>
          <w:rFonts w:eastAsia="Arial" w:cs="Times New Roman"/>
          <w:color w:val="4D4D4D"/>
        </w:rPr>
        <w:t xml:space="preserve"> dedicated to a geographic region of the state, with equitable distribution of students and schools among Education Coordinators</w:t>
      </w:r>
      <w:r w:rsidRPr="006D2A1C">
        <w:rPr>
          <w:rFonts w:eastAsia="Arial" w:cs="Times New Roman"/>
          <w:color w:val="4D4D4D"/>
        </w:rPr>
        <w:t xml:space="preserve">. Since the launch of the program, the Company has delivered </w:t>
      </w:r>
      <w:r>
        <w:rPr>
          <w:rFonts w:eastAsia="Arial" w:cs="Times New Roman"/>
          <w:color w:val="4D4D4D"/>
        </w:rPr>
        <w:t>24,258</w:t>
      </w:r>
      <w:r w:rsidRPr="006D2A1C">
        <w:rPr>
          <w:rFonts w:eastAsia="Arial" w:cs="Times New Roman"/>
          <w:color w:val="4D4D4D"/>
        </w:rPr>
        <w:t xml:space="preserve"> programs to </w:t>
      </w:r>
      <w:r>
        <w:rPr>
          <w:rFonts w:eastAsia="Arial" w:cs="Times New Roman"/>
          <w:color w:val="4D4D4D"/>
        </w:rPr>
        <w:t>631,516</w:t>
      </w:r>
      <w:r w:rsidRPr="006D2A1C">
        <w:rPr>
          <w:rFonts w:eastAsia="Arial" w:cs="Times New Roman"/>
          <w:color w:val="4D4D4D"/>
        </w:rPr>
        <w:t xml:space="preserve"> students through December 201</w:t>
      </w:r>
      <w:r>
        <w:rPr>
          <w:rFonts w:eastAsia="Arial" w:cs="Times New Roman"/>
          <w:color w:val="4D4D4D"/>
        </w:rPr>
        <w:t>8</w:t>
      </w:r>
      <w:r w:rsidRPr="006D2A1C">
        <w:rPr>
          <w:rFonts w:eastAsia="Arial" w:cs="Times New Roman"/>
          <w:color w:val="4D4D4D"/>
        </w:rPr>
        <w:t>. Since 201</w:t>
      </w:r>
      <w:r>
        <w:rPr>
          <w:rFonts w:eastAsia="Arial" w:cs="Times New Roman"/>
          <w:color w:val="4D4D4D"/>
        </w:rPr>
        <w:t>7</w:t>
      </w:r>
      <w:r w:rsidRPr="006D2A1C">
        <w:rPr>
          <w:rFonts w:eastAsia="Arial" w:cs="Times New Roman"/>
          <w:color w:val="4D4D4D"/>
        </w:rPr>
        <w:t xml:space="preserve">, approximately </w:t>
      </w:r>
      <w:r>
        <w:rPr>
          <w:rFonts w:eastAsia="Arial" w:cs="Times New Roman"/>
          <w:color w:val="4D4D4D"/>
        </w:rPr>
        <w:t>1,439</w:t>
      </w:r>
      <w:r w:rsidRPr="006D2A1C">
        <w:rPr>
          <w:rFonts w:eastAsia="Arial" w:cs="Times New Roman"/>
          <w:color w:val="4D4D4D"/>
        </w:rPr>
        <w:t xml:space="preserve"> teachers have been </w:t>
      </w:r>
      <w:r>
        <w:rPr>
          <w:rFonts w:eastAsia="Arial" w:cs="Times New Roman"/>
          <w:color w:val="4D4D4D"/>
        </w:rPr>
        <w:t>surveyed</w:t>
      </w:r>
      <w:r w:rsidRPr="006D2A1C">
        <w:rPr>
          <w:rFonts w:eastAsia="Arial" w:cs="Times New Roman"/>
          <w:color w:val="4D4D4D"/>
        </w:rPr>
        <w:t>, and average results over the life of the survey are as follows:</w:t>
      </w:r>
    </w:p>
    <w:p w14:paraId="586B60EB" w14:textId="77777777" w:rsidR="00F4498A" w:rsidRPr="006D2A1C" w:rsidRDefault="00F4498A" w:rsidP="00DD00CB">
      <w:pPr>
        <w:numPr>
          <w:ilvl w:val="0"/>
          <w:numId w:val="18"/>
        </w:numPr>
        <w:contextualSpacing/>
        <w:rPr>
          <w:rFonts w:eastAsia="Arial" w:cs="Times New Roman"/>
          <w:color w:val="4D4D4D"/>
          <w:lang w:bidi="en-US"/>
        </w:rPr>
      </w:pPr>
      <w:r w:rsidRPr="006D2A1C">
        <w:rPr>
          <w:rFonts w:eastAsia="Arial" w:cs="Times New Roman"/>
          <w:color w:val="4D4D4D"/>
          <w:lang w:bidi="en-US"/>
        </w:rPr>
        <w:t>It was beneficial to their students (9</w:t>
      </w:r>
      <w:r>
        <w:rPr>
          <w:rFonts w:eastAsia="Arial" w:cs="Times New Roman"/>
          <w:color w:val="4D4D4D"/>
          <w:lang w:bidi="en-US"/>
        </w:rPr>
        <w:t>9</w:t>
      </w:r>
      <w:r w:rsidRPr="006D2A1C">
        <w:rPr>
          <w:rFonts w:eastAsia="Arial" w:cs="Times New Roman"/>
          <w:color w:val="4D4D4D"/>
          <w:lang w:bidi="en-US"/>
        </w:rPr>
        <w:t>%);</w:t>
      </w:r>
    </w:p>
    <w:p w14:paraId="2A7209CA" w14:textId="77777777" w:rsidR="00F4498A" w:rsidRPr="006D2A1C" w:rsidRDefault="00F4498A" w:rsidP="00DD00CB">
      <w:pPr>
        <w:numPr>
          <w:ilvl w:val="0"/>
          <w:numId w:val="18"/>
        </w:numPr>
        <w:contextualSpacing/>
        <w:rPr>
          <w:rFonts w:eastAsia="Arial" w:cs="Times New Roman"/>
          <w:color w:val="4D4D4D"/>
          <w:lang w:bidi="en-US"/>
        </w:rPr>
      </w:pPr>
      <w:r w:rsidRPr="006D2A1C">
        <w:rPr>
          <w:rFonts w:eastAsia="Arial" w:cs="Times New Roman"/>
          <w:color w:val="4D4D4D"/>
          <w:lang w:bidi="en-US"/>
        </w:rPr>
        <w:t>It increased their students’ knowledge about energy efficiency (98%); and</w:t>
      </w:r>
    </w:p>
    <w:p w14:paraId="73EE4BDE" w14:textId="77777777" w:rsidR="00F4498A" w:rsidRPr="006D2A1C" w:rsidRDefault="00F4498A" w:rsidP="00DD00CB">
      <w:pPr>
        <w:numPr>
          <w:ilvl w:val="0"/>
          <w:numId w:val="18"/>
        </w:numPr>
        <w:rPr>
          <w:rFonts w:eastAsia="Arial" w:cs="Times New Roman"/>
          <w:color w:val="4D4D4D"/>
          <w:lang w:bidi="en-US"/>
        </w:rPr>
      </w:pPr>
      <w:r w:rsidRPr="006D2A1C">
        <w:rPr>
          <w:rFonts w:eastAsia="Arial" w:cs="Times New Roman"/>
          <w:color w:val="4D4D4D"/>
        </w:rPr>
        <w:t>It improved their students’ commitment to energy efficiency (91%).</w:t>
      </w:r>
    </w:p>
    <w:p w14:paraId="17E17A6A" w14:textId="77777777" w:rsidR="00F4498A" w:rsidRPr="006D2A1C" w:rsidRDefault="00F4498A" w:rsidP="00F4498A">
      <w:pPr>
        <w:rPr>
          <w:rFonts w:eastAsia="Arial" w:cs="Times New Roman"/>
          <w:color w:val="4D4D4D"/>
          <w:lang w:bidi="en-US"/>
        </w:rPr>
      </w:pPr>
      <w:r w:rsidRPr="006D2A1C">
        <w:rPr>
          <w:rFonts w:eastAsia="Arial" w:cs="Times New Roman"/>
          <w:color w:val="4D4D4D"/>
        </w:rPr>
        <w:t xml:space="preserve">In addition, Learning Power </w:t>
      </w:r>
      <w:r>
        <w:rPr>
          <w:rFonts w:eastAsia="Arial" w:cs="Times New Roman"/>
          <w:color w:val="4D4D4D"/>
        </w:rPr>
        <w:t>results in</w:t>
      </w:r>
      <w:r w:rsidRPr="006D2A1C">
        <w:rPr>
          <w:rFonts w:eastAsia="Arial" w:cs="Times New Roman"/>
          <w:color w:val="4D4D4D"/>
        </w:rPr>
        <w:t xml:space="preserve"> teachers </w:t>
      </w:r>
      <w:r>
        <w:rPr>
          <w:rFonts w:eastAsia="Arial" w:cs="Times New Roman"/>
          <w:color w:val="4D4D4D"/>
        </w:rPr>
        <w:t>being</w:t>
      </w:r>
      <w:r w:rsidRPr="006D2A1C">
        <w:rPr>
          <w:rFonts w:eastAsia="Arial" w:cs="Times New Roman"/>
          <w:color w:val="4D4D4D"/>
        </w:rPr>
        <w:t xml:space="preserve"> well informed about energy and energy efficiency after</w:t>
      </w:r>
      <w:r>
        <w:rPr>
          <w:rFonts w:eastAsia="Arial" w:cs="Times New Roman"/>
          <w:color w:val="4D4D4D"/>
        </w:rPr>
        <w:t xml:space="preserve"> presentations</w:t>
      </w:r>
      <w:r w:rsidRPr="006D2A1C">
        <w:rPr>
          <w:rFonts w:eastAsia="Arial" w:cs="Times New Roman"/>
          <w:color w:val="4D4D4D"/>
        </w:rPr>
        <w:t xml:space="preserve"> </w:t>
      </w:r>
      <w:r>
        <w:rPr>
          <w:rFonts w:eastAsia="Arial" w:cs="Times New Roman"/>
          <w:color w:val="4D4D4D"/>
        </w:rPr>
        <w:t xml:space="preserve">by </w:t>
      </w:r>
      <w:r w:rsidRPr="006D2A1C">
        <w:rPr>
          <w:rFonts w:eastAsia="Arial" w:cs="Times New Roman"/>
          <w:color w:val="4D4D4D"/>
        </w:rPr>
        <w:t>Education Coordinators.</w:t>
      </w:r>
    </w:p>
    <w:p w14:paraId="4021E43D" w14:textId="77777777" w:rsidR="00F4498A" w:rsidRPr="006D2A1C" w:rsidRDefault="00F4498A" w:rsidP="00DD00CB">
      <w:pPr>
        <w:numPr>
          <w:ilvl w:val="0"/>
          <w:numId w:val="19"/>
        </w:numPr>
        <w:contextualSpacing/>
        <w:rPr>
          <w:rFonts w:eastAsia="Arial" w:cs="Times New Roman"/>
          <w:color w:val="4D4D4D"/>
        </w:rPr>
      </w:pPr>
      <w:r w:rsidRPr="006D2A1C">
        <w:rPr>
          <w:rFonts w:eastAsia="Arial" w:cs="Times New Roman"/>
          <w:bCs/>
          <w:color w:val="4D4D4D"/>
        </w:rPr>
        <w:t>Before</w:t>
      </w:r>
      <w:r w:rsidRPr="006D2A1C">
        <w:rPr>
          <w:rFonts w:eastAsia="Arial" w:cs="Times New Roman"/>
          <w:b/>
          <w:bCs/>
          <w:color w:val="4D4D4D"/>
        </w:rPr>
        <w:t xml:space="preserve"> </w:t>
      </w:r>
      <w:r w:rsidRPr="006D2A1C">
        <w:rPr>
          <w:rFonts w:eastAsia="Arial" w:cs="Times New Roman"/>
          <w:iCs/>
          <w:color w:val="4D4D4D"/>
        </w:rPr>
        <w:t xml:space="preserve">the presentation, </w:t>
      </w:r>
      <w:r>
        <w:rPr>
          <w:rFonts w:eastAsia="Arial" w:cs="Times New Roman"/>
          <w:iCs/>
          <w:color w:val="4D4D4D"/>
        </w:rPr>
        <w:t>41</w:t>
      </w:r>
      <w:r w:rsidRPr="006D2A1C">
        <w:rPr>
          <w:rFonts w:eastAsia="Arial" w:cs="Times New Roman"/>
          <w:iCs/>
          <w:color w:val="4D4D4D"/>
        </w:rPr>
        <w:t>%</w:t>
      </w:r>
      <w:r w:rsidRPr="006D2A1C">
        <w:rPr>
          <w:rFonts w:eastAsia="Arial" w:cs="Times New Roman"/>
          <w:b/>
          <w:bCs/>
          <w:color w:val="4D4D4D"/>
        </w:rPr>
        <w:t xml:space="preserve"> </w:t>
      </w:r>
      <w:r w:rsidRPr="006D2A1C">
        <w:rPr>
          <w:rFonts w:eastAsia="Arial" w:cs="Times New Roman"/>
          <w:color w:val="4D4D4D"/>
        </w:rPr>
        <w:t xml:space="preserve">felt very well informed about energy and energy efficiency. </w:t>
      </w:r>
    </w:p>
    <w:p w14:paraId="243F8DE0" w14:textId="6F3DC6AF" w:rsidR="00C74110" w:rsidRPr="006D2A1C" w:rsidRDefault="00F4498A" w:rsidP="00DD00CB">
      <w:pPr>
        <w:numPr>
          <w:ilvl w:val="0"/>
          <w:numId w:val="19"/>
        </w:numPr>
        <w:rPr>
          <w:rFonts w:eastAsia="Arial" w:cs="Times New Roman"/>
          <w:color w:val="4D4D4D"/>
        </w:rPr>
      </w:pPr>
      <w:r w:rsidRPr="006D2A1C">
        <w:rPr>
          <w:rFonts w:eastAsia="Arial" w:cs="Times New Roman"/>
          <w:bCs/>
          <w:color w:val="4D4D4D"/>
        </w:rPr>
        <w:t>After</w:t>
      </w:r>
      <w:r w:rsidRPr="006D2A1C">
        <w:rPr>
          <w:rFonts w:eastAsia="Arial" w:cs="Times New Roman"/>
          <w:color w:val="4D4D4D"/>
        </w:rPr>
        <w:t xml:space="preserve"> the presentation, </w:t>
      </w:r>
      <w:r>
        <w:rPr>
          <w:rFonts w:eastAsia="Arial" w:cs="Times New Roman"/>
          <w:bCs/>
          <w:color w:val="4D4D4D"/>
        </w:rPr>
        <w:t>95</w:t>
      </w:r>
      <w:r w:rsidRPr="006D2A1C">
        <w:rPr>
          <w:rFonts w:eastAsia="Arial" w:cs="Times New Roman"/>
          <w:bCs/>
          <w:color w:val="4D4D4D"/>
        </w:rPr>
        <w:t>%</w:t>
      </w:r>
      <w:r w:rsidRPr="006D2A1C">
        <w:rPr>
          <w:rFonts w:eastAsia="Arial" w:cs="Times New Roman"/>
          <w:b/>
          <w:bCs/>
          <w:color w:val="4D4D4D"/>
        </w:rPr>
        <w:t xml:space="preserve"> </w:t>
      </w:r>
      <w:r w:rsidRPr="006D2A1C">
        <w:rPr>
          <w:rFonts w:eastAsia="Arial" w:cs="Times New Roman"/>
          <w:color w:val="4D4D4D"/>
        </w:rPr>
        <w:t>felt very well informed about energy and energy efficiency.</w:t>
      </w:r>
    </w:p>
    <w:p w14:paraId="2B507C17" w14:textId="77777777" w:rsidR="004C3059" w:rsidRPr="006D2A1C" w:rsidRDefault="004C3059" w:rsidP="004C3059">
      <w:pPr>
        <w:pStyle w:val="Heading3"/>
      </w:pPr>
      <w:bookmarkStart w:id="114" w:name="_Toc347116306"/>
      <w:bookmarkStart w:id="115" w:name="_Toc432681244"/>
      <w:bookmarkStart w:id="116" w:name="_Toc441582909"/>
      <w:bookmarkEnd w:id="113"/>
      <w:r w:rsidRPr="006D2A1C">
        <w:t>Energy Efficiency Awareness Initiative</w:t>
      </w:r>
      <w:bookmarkEnd w:id="114"/>
      <w:bookmarkEnd w:id="115"/>
      <w:bookmarkEnd w:id="116"/>
    </w:p>
    <w:p w14:paraId="49B541B7" w14:textId="77777777" w:rsidR="004C3059" w:rsidRPr="006D2A1C" w:rsidRDefault="004C3059" w:rsidP="004C3059">
      <w:pPr>
        <w:rPr>
          <w:rFonts w:eastAsia="Arial" w:cs="Times New Roman"/>
          <w:color w:val="4D4D4D"/>
        </w:rPr>
      </w:pPr>
      <w:r w:rsidRPr="006D2A1C">
        <w:rPr>
          <w:rFonts w:eastAsia="Arial" w:cs="Times New Roman"/>
          <w:color w:val="4D4D4D"/>
        </w:rPr>
        <w:t xml:space="preserve">The Company’s Energy Efficiency Awareness Initiative promotes the benefits of energy efficiency and educates customers about specific ways to save money and energy. </w:t>
      </w:r>
      <w:r>
        <w:rPr>
          <w:rFonts w:eastAsia="Arial" w:cs="Times New Roman"/>
          <w:color w:val="4D4D4D"/>
        </w:rPr>
        <w:t>In the 2016 IRP, t</w:t>
      </w:r>
      <w:r w:rsidRPr="006D2A1C">
        <w:rPr>
          <w:rFonts w:eastAsia="Arial" w:cs="Times New Roman"/>
          <w:color w:val="4D4D4D"/>
        </w:rPr>
        <w:t>he Commission</w:t>
      </w:r>
      <w:r>
        <w:rPr>
          <w:rFonts w:eastAsia="Arial" w:cs="Times New Roman"/>
          <w:color w:val="4D4D4D"/>
        </w:rPr>
        <w:t xml:space="preserve"> </w:t>
      </w:r>
      <w:r w:rsidRPr="006D2A1C">
        <w:rPr>
          <w:rFonts w:eastAsia="Arial" w:cs="Times New Roman"/>
          <w:color w:val="4D4D4D"/>
        </w:rPr>
        <w:t xml:space="preserve">approved </w:t>
      </w:r>
      <w:r>
        <w:rPr>
          <w:rFonts w:eastAsia="Arial" w:cs="Times New Roman"/>
          <w:color w:val="4D4D4D"/>
        </w:rPr>
        <w:t>a dedicated budget for residential and commercial general awareness</w:t>
      </w:r>
      <w:r w:rsidRPr="006D2A1C">
        <w:rPr>
          <w:rFonts w:eastAsia="Arial" w:cs="Times New Roman"/>
          <w:color w:val="4D4D4D"/>
        </w:rPr>
        <w:t xml:space="preserve">. </w:t>
      </w:r>
      <w:r>
        <w:rPr>
          <w:rFonts w:eastAsia="Arial" w:cs="Times New Roman"/>
          <w:color w:val="4D4D4D"/>
        </w:rPr>
        <w:t>The Company seeks continued funding to support efforts that increase general energy efficiency awareness</w:t>
      </w:r>
      <w:r w:rsidRPr="006D2A1C">
        <w:rPr>
          <w:rFonts w:eastAsia="Arial" w:cs="Times New Roman"/>
          <w:color w:val="4D4D4D"/>
        </w:rPr>
        <w:t xml:space="preserve"> in the residential </w:t>
      </w:r>
      <w:r>
        <w:rPr>
          <w:rFonts w:eastAsia="Arial" w:cs="Times New Roman"/>
          <w:color w:val="4D4D4D"/>
        </w:rPr>
        <w:t xml:space="preserve">and commercial </w:t>
      </w:r>
      <w:r w:rsidRPr="006D2A1C">
        <w:rPr>
          <w:rFonts w:eastAsia="Arial" w:cs="Times New Roman"/>
          <w:color w:val="4D4D4D"/>
        </w:rPr>
        <w:t>market</w:t>
      </w:r>
      <w:r>
        <w:rPr>
          <w:rFonts w:eastAsia="Arial" w:cs="Times New Roman"/>
          <w:color w:val="4D4D4D"/>
        </w:rPr>
        <w:t>s</w:t>
      </w:r>
      <w:r w:rsidRPr="006D2A1C">
        <w:rPr>
          <w:rFonts w:eastAsia="Arial" w:cs="Times New Roman"/>
          <w:color w:val="4D4D4D"/>
        </w:rPr>
        <w:t xml:space="preserve">. </w:t>
      </w:r>
    </w:p>
    <w:p w14:paraId="491F20DC" w14:textId="736A8F0B" w:rsidR="0085625D" w:rsidRPr="006D2A1C" w:rsidRDefault="004C3059" w:rsidP="004C3059">
      <w:pPr>
        <w:rPr>
          <w:rFonts w:eastAsia="Arial" w:cs="Times New Roman"/>
          <w:color w:val="4D4D4D"/>
        </w:rPr>
      </w:pPr>
      <w:r w:rsidRPr="006D2A1C">
        <w:rPr>
          <w:rFonts w:eastAsia="Arial" w:cs="Times New Roman"/>
          <w:color w:val="4D4D4D"/>
        </w:rPr>
        <w:t xml:space="preserve">The Company uses direct marketing channels to efficiently reach its customer base. Television, radio, print, internet, billboards, local office advertising, and direct mail are the primary channels used. The Company has developed a number of online tools </w:t>
      </w:r>
      <w:r w:rsidR="006574C8">
        <w:rPr>
          <w:rFonts w:eastAsia="Arial" w:cs="Times New Roman"/>
          <w:color w:val="4D4D4D"/>
        </w:rPr>
        <w:t xml:space="preserve">to </w:t>
      </w:r>
      <w:r w:rsidRPr="006D2A1C">
        <w:rPr>
          <w:rFonts w:eastAsia="Arial" w:cs="Times New Roman"/>
          <w:color w:val="4D4D4D"/>
        </w:rPr>
        <w:t xml:space="preserve">enhance customers’ learning about energy efficiency. Customers are invited to visit </w:t>
      </w:r>
      <w:hyperlink r:id="rId14" w:history="1">
        <w:r w:rsidRPr="006D2A1C">
          <w:rPr>
            <w:rFonts w:eastAsia="Arial" w:cs="Times New Roman"/>
            <w:color w:val="0563C1"/>
            <w:u w:val="single"/>
          </w:rPr>
          <w:t>www.georgiapower.com</w:t>
        </w:r>
      </w:hyperlink>
      <w:r w:rsidRPr="006D2A1C">
        <w:rPr>
          <w:rFonts w:eastAsia="Arial" w:cs="Times New Roman"/>
          <w:color w:val="4D4D4D"/>
        </w:rPr>
        <w:t xml:space="preserve"> to learn ways to save energy through general energy efficiency information, helpful tips, and specific information about energy efficiency programs offered by the Company. Social media channels </w:t>
      </w:r>
      <w:r>
        <w:rPr>
          <w:rFonts w:eastAsia="Arial" w:cs="Times New Roman"/>
          <w:color w:val="4D4D4D"/>
        </w:rPr>
        <w:t>such as</w:t>
      </w:r>
      <w:r w:rsidRPr="006D2A1C">
        <w:rPr>
          <w:rFonts w:eastAsia="Arial" w:cs="Times New Roman"/>
          <w:color w:val="4D4D4D"/>
        </w:rPr>
        <w:t xml:space="preserve"> Facebook, Twitter and YouTube are also used to communicate with customers.</w:t>
      </w:r>
    </w:p>
    <w:p w14:paraId="4A3C6745" w14:textId="77777777" w:rsidR="0085625D" w:rsidRPr="006D2A1C" w:rsidRDefault="0085625D" w:rsidP="0085625D">
      <w:pPr>
        <w:pStyle w:val="Heading3"/>
      </w:pPr>
      <w:bookmarkStart w:id="117" w:name="_Toc347116307"/>
      <w:bookmarkStart w:id="118" w:name="_Toc432681245"/>
      <w:bookmarkStart w:id="119" w:name="_Toc441582910"/>
      <w:r w:rsidRPr="006D2A1C">
        <w:t>Demand Response Tariffs</w:t>
      </w:r>
      <w:bookmarkEnd w:id="117"/>
      <w:bookmarkEnd w:id="118"/>
      <w:bookmarkEnd w:id="119"/>
    </w:p>
    <w:p w14:paraId="76062085" w14:textId="77777777" w:rsidR="004C3059" w:rsidRPr="006D2A1C" w:rsidRDefault="004C3059" w:rsidP="004C3059">
      <w:pPr>
        <w:rPr>
          <w:rFonts w:eastAsia="Arial" w:cs="Times New Roman"/>
          <w:color w:val="4D4D4D"/>
        </w:rPr>
      </w:pPr>
      <w:bookmarkStart w:id="120" w:name="_Toc441582911"/>
      <w:r w:rsidRPr="006D2A1C">
        <w:rPr>
          <w:rFonts w:eastAsia="Arial" w:cs="Times New Roman"/>
          <w:color w:val="4D4D4D"/>
        </w:rPr>
        <w:t>For many years, the Company has offered its customers a menu of demand response tariffs, such as:</w:t>
      </w:r>
    </w:p>
    <w:p w14:paraId="641A7677" w14:textId="77777777" w:rsidR="004C3059" w:rsidRPr="006D2A1C" w:rsidRDefault="004C3059" w:rsidP="00DD00CB">
      <w:pPr>
        <w:numPr>
          <w:ilvl w:val="0"/>
          <w:numId w:val="20"/>
        </w:numPr>
        <w:contextualSpacing/>
        <w:rPr>
          <w:rFonts w:eastAsia="Arial" w:cs="Times New Roman"/>
          <w:color w:val="4D4D4D"/>
        </w:rPr>
      </w:pPr>
      <w:r w:rsidRPr="006D2A1C">
        <w:rPr>
          <w:rFonts w:eastAsia="Arial" w:cs="Times New Roman"/>
          <w:color w:val="4D4D4D"/>
        </w:rPr>
        <w:t xml:space="preserve">Real Time Pricing, which offers customers marginal pricing for incremental load; as prices increase, customers can respond by reducing their demand; </w:t>
      </w:r>
    </w:p>
    <w:p w14:paraId="663FAB0A" w14:textId="77777777" w:rsidR="004C3059" w:rsidRPr="006D2A1C" w:rsidRDefault="004C3059" w:rsidP="00DD00CB">
      <w:pPr>
        <w:numPr>
          <w:ilvl w:val="0"/>
          <w:numId w:val="20"/>
        </w:numPr>
        <w:contextualSpacing/>
        <w:rPr>
          <w:rFonts w:eastAsia="Arial" w:cs="Times New Roman"/>
          <w:color w:val="4D4D4D"/>
        </w:rPr>
      </w:pPr>
      <w:r w:rsidRPr="006D2A1C">
        <w:rPr>
          <w:rFonts w:eastAsia="Arial" w:cs="Times New Roman"/>
          <w:color w:val="4D4D4D"/>
        </w:rPr>
        <w:t xml:space="preserve">Demand Plus Energy Credit (“DPEC”), which is an interruptible service tariff that provides commercial and industrial customers with a demand credit for the potential of demand reduction, plus an energy credit when DPEC is called; </w:t>
      </w:r>
    </w:p>
    <w:p w14:paraId="3391897B" w14:textId="77777777" w:rsidR="004C3059" w:rsidRPr="006D2A1C" w:rsidRDefault="004C3059" w:rsidP="00DD00CB">
      <w:pPr>
        <w:numPr>
          <w:ilvl w:val="0"/>
          <w:numId w:val="20"/>
        </w:numPr>
        <w:contextualSpacing/>
        <w:rPr>
          <w:rFonts w:eastAsia="Times New Roman" w:cs="Times New Roman"/>
          <w:color w:val="4D4D4D"/>
        </w:rPr>
      </w:pPr>
      <w:r w:rsidRPr="006D2A1C">
        <w:rPr>
          <w:rFonts w:eastAsia="Times New Roman" w:cs="Times New Roman"/>
          <w:bCs/>
          <w:color w:val="4D4D4D"/>
        </w:rPr>
        <w:t>Demand</w:t>
      </w:r>
      <w:r w:rsidRPr="006D2A1C">
        <w:rPr>
          <w:rFonts w:eastAsia="Times New Roman" w:cs="Times New Roman"/>
          <w:color w:val="4D4D4D"/>
        </w:rPr>
        <w:t xml:space="preserve"> tariffs, which align with the Company’s cost of service and encourage demand reduction; and</w:t>
      </w:r>
    </w:p>
    <w:p w14:paraId="71540E45" w14:textId="36F53C80" w:rsidR="004C3059" w:rsidRPr="006D2A1C" w:rsidRDefault="004C3059" w:rsidP="00DD00CB">
      <w:pPr>
        <w:numPr>
          <w:ilvl w:val="0"/>
          <w:numId w:val="20"/>
        </w:numPr>
        <w:rPr>
          <w:rFonts w:eastAsia="Times New Roman" w:cs="Times New Roman"/>
          <w:color w:val="4D4D4D"/>
        </w:rPr>
      </w:pPr>
      <w:r w:rsidRPr="006D2A1C">
        <w:rPr>
          <w:rFonts w:eastAsia="Times New Roman" w:cs="Times New Roman"/>
          <w:color w:val="4D4D4D"/>
        </w:rPr>
        <w:t>Time of Use tariffs, which provide customers with pricing signals during different periods of the day that reflect the marginal cost of the energy in the specific time period (peak and off-peak) and encourage customers to modify their usage accordingly.</w:t>
      </w:r>
    </w:p>
    <w:bookmarkEnd w:id="120"/>
    <w:p w14:paraId="569F47B9" w14:textId="77777777" w:rsidR="00CE1CE1" w:rsidRPr="006D2A1C" w:rsidRDefault="00CE1CE1" w:rsidP="00CE1CE1">
      <w:pPr>
        <w:pStyle w:val="Heading3"/>
      </w:pPr>
      <w:r w:rsidRPr="006D2A1C">
        <w:t>Pilot Studies &amp; Budgets</w:t>
      </w:r>
    </w:p>
    <w:p w14:paraId="7ADAD6C4" w14:textId="01CFE31A" w:rsidR="001C22CD" w:rsidRPr="001C22CD" w:rsidRDefault="001C22CD" w:rsidP="001C22CD">
      <w:r w:rsidRPr="001C22CD">
        <w:t xml:space="preserve">Georgia Power engages in pilot studies to better understand emerging energy efficiency options for the benefit of customers. In the 2016 IRP Order, the Commission approved a $2.5 million annual budget for DSM and energy efficiency pilot programs. Since 2016, Georgia Power launched five residential pilot programs (Home Automation, Home Electric Review Behavioral, Multifamily Low-Income Smart Thermostats, Residential Bring Your Own Thermostat Demand Response, and Residential Water Heater Demand Response) and two commercial pilot programs (Small Business Behavioral and Indoor Agriculture). The successes and lessons learned from these pilot programs directly influenced the </w:t>
      </w:r>
      <w:r w:rsidR="00B74D98">
        <w:t>development</w:t>
      </w:r>
      <w:r w:rsidRPr="001C22CD">
        <w:t xml:space="preserve"> of the Residential Thermostat Demand Response program and Small Commercial Behavioral programs, which are included in the Company’s 2019 Proposed Case.</w:t>
      </w:r>
    </w:p>
    <w:p w14:paraId="1F5A1271" w14:textId="443F2053" w:rsidR="001C22CD" w:rsidRDefault="001C22CD" w:rsidP="001C22CD">
      <w:pPr>
        <w:rPr>
          <w:b/>
        </w:rPr>
      </w:pPr>
      <w:r w:rsidRPr="001C22CD">
        <w:t xml:space="preserve">As part of this 2019 IRP, the Company seeks Commission approval of its proposed </w:t>
      </w:r>
      <w:r w:rsidR="00E709D5">
        <w:t xml:space="preserve">$2 million </w:t>
      </w:r>
      <w:r w:rsidRPr="001C22CD">
        <w:t xml:space="preserve">budget for residential and </w:t>
      </w:r>
      <w:r w:rsidR="00E709D5">
        <w:t xml:space="preserve">$2 million </w:t>
      </w:r>
      <w:r w:rsidRPr="001C22CD">
        <w:t>budget for commercial pilots, as outlined in the supporting documents included in Company’s 2019 DSM Certification Application in Docket No. 42311. In addition to the general pilot budget, the Company seeks Commission approval of the Income-Qualified Tariff</w:t>
      </w:r>
      <w:r w:rsidR="00CC3FAB">
        <w:t>-</w:t>
      </w:r>
      <w:r w:rsidRPr="001C22CD">
        <w:t>Based Financing Pilot Program, as suggested by the DSMWG Advocates and discussed in more detail below.</w:t>
      </w:r>
    </w:p>
    <w:p w14:paraId="10CC2F2C" w14:textId="7C59E2AD" w:rsidR="00CE1CE1" w:rsidRPr="00CE1CE1" w:rsidRDefault="00CE1CE1" w:rsidP="001C22CD">
      <w:pPr>
        <w:pStyle w:val="Heading3"/>
      </w:pPr>
      <w:r w:rsidRPr="00CE1CE1">
        <w:t>Income-Qualified Tariff-Based Financing Pilot</w:t>
      </w:r>
    </w:p>
    <w:p w14:paraId="4BA27E20" w14:textId="1DCEF528" w:rsidR="001C22CD" w:rsidRPr="001C22CD" w:rsidRDefault="001C22CD" w:rsidP="001C22CD">
      <w:pPr>
        <w:rPr>
          <w:rFonts w:cs="Arial"/>
        </w:rPr>
      </w:pPr>
      <w:r w:rsidRPr="001C22CD">
        <w:rPr>
          <w:rFonts w:cs="Arial"/>
        </w:rPr>
        <w:t>Georgia Power’s Income-Qualified Tariff-Based Financing Program promotes energy efficiency improvements in existing, income-qualified single-family homes, as well as multifamily properties. The 2020-2022 program will be offered as a non-certified pilot directly targeting income-qualified households that are historically under-represented in energy efficiency program participation. The Income-Qualified Tariff-Based Financing Program will be offered to up to two hundred (200) low income residential customers in select, targeted areas of the state with the goal of saving 20% of their baseline household electric energy with an investment of up to $7,500 per household. The eligibility criteria for this program will</w:t>
      </w:r>
      <w:r w:rsidR="00CC3FAB">
        <w:rPr>
          <w:rFonts w:cs="Arial"/>
        </w:rPr>
        <w:t xml:space="preserve"> be</w:t>
      </w:r>
      <w:r w:rsidRPr="001C22CD">
        <w:rPr>
          <w:rFonts w:cs="Arial"/>
        </w:rPr>
        <w:t xml:space="preserve"> based on </w:t>
      </w:r>
      <w:r w:rsidR="00CC3FAB">
        <w:rPr>
          <w:rFonts w:cs="Arial"/>
        </w:rPr>
        <w:t>i</w:t>
      </w:r>
      <w:r w:rsidRPr="001C22CD">
        <w:rPr>
          <w:rFonts w:cs="Arial"/>
        </w:rPr>
        <w:t xml:space="preserve">ncome qualification consistent with the current year’s federal guidelines for an income level of 200% of the federal annual poverty level. </w:t>
      </w:r>
    </w:p>
    <w:p w14:paraId="6A8986EF" w14:textId="5C4EC336" w:rsidR="001C22CD" w:rsidRPr="001C22CD" w:rsidRDefault="001C22CD" w:rsidP="001C22CD">
      <w:pPr>
        <w:rPr>
          <w:rFonts w:cs="Arial"/>
        </w:rPr>
      </w:pPr>
      <w:r w:rsidRPr="001C22CD">
        <w:rPr>
          <w:rFonts w:cs="Arial"/>
        </w:rPr>
        <w:t>Upfront cost is one of the reasons low income customers typically do not participate in energy efficiency programs. Under Georgia Power’s Income-Qualified Tariff-Based Financing Program, Georgia Power covers the upfront cost of eligible energy efficiency measures installed, and the customer repays the cost of the energy efficiency upgrades and installation through their utility electric bills via a Commission approved tariff (to be included in Georgia Power’s Base Rate case in 2019). Georgia Power is not extending credit to the customer through a loan, rather Georgia Power is offering to pay for eligible energy efficiency upgrades under the terms of a new tariff. Program costs will be recovered through the residential DSM tariff.</w:t>
      </w:r>
    </w:p>
    <w:p w14:paraId="61D7CB4D" w14:textId="0F114B4A" w:rsidR="001C22CD" w:rsidRPr="001C22CD" w:rsidRDefault="001C22CD" w:rsidP="001C22CD">
      <w:pPr>
        <w:rPr>
          <w:rFonts w:cs="Arial"/>
        </w:rPr>
      </w:pPr>
      <w:r w:rsidRPr="001C22CD">
        <w:rPr>
          <w:rFonts w:cs="Arial"/>
        </w:rPr>
        <w:t>The program will be designed to provide net savings for participating customers because the customer's new monthly bill amount, including Georgia Power's monthly charge to recover the cost of the upgrades, will be lower than the customer's monthly energy bill before the upgrades were installed</w:t>
      </w:r>
      <w:r w:rsidR="00E709D5">
        <w:rPr>
          <w:rFonts w:cs="Arial"/>
        </w:rPr>
        <w:t xml:space="preserve">, assuming </w:t>
      </w:r>
      <w:r w:rsidRPr="001C22CD">
        <w:rPr>
          <w:rFonts w:cs="Arial"/>
        </w:rPr>
        <w:t>similar household size, usage</w:t>
      </w:r>
      <w:r w:rsidR="00E709D5">
        <w:rPr>
          <w:rFonts w:cs="Arial"/>
        </w:rPr>
        <w:t>,</w:t>
      </w:r>
      <w:r w:rsidRPr="001C22CD">
        <w:rPr>
          <w:rFonts w:cs="Arial"/>
        </w:rPr>
        <w:t xml:space="preserve"> and weather</w:t>
      </w:r>
      <w:r w:rsidR="00E709D5">
        <w:rPr>
          <w:rFonts w:cs="Arial"/>
        </w:rPr>
        <w:t>-</w:t>
      </w:r>
      <w:r w:rsidRPr="001C22CD">
        <w:rPr>
          <w:rFonts w:cs="Arial"/>
        </w:rPr>
        <w:t>normalized consumption pre- and post-installation.</w:t>
      </w:r>
    </w:p>
    <w:p w14:paraId="2C23BEEC" w14:textId="2FD67468" w:rsidR="001C22CD" w:rsidRPr="001C22CD" w:rsidRDefault="001C22CD" w:rsidP="001C22CD">
      <w:pPr>
        <w:rPr>
          <w:rFonts w:cs="Arial"/>
        </w:rPr>
      </w:pPr>
      <w:r w:rsidRPr="001C22CD">
        <w:rPr>
          <w:rFonts w:cs="Arial"/>
        </w:rPr>
        <w:t xml:space="preserve">The new tariff for the income-qualified program will be associated with the meter at the premises where the upgrades are installed and will remain in force until cost recovery is complete - regardless of a change in occupancy. Once the cost of the upgrades has been recouped, the tariff will be removed from the premises and the customer will enjoy the full benefits of the reduced energy consumption. The cost recovery charge for the upgrades is treated the same as other utility charges on the bill. If a participating customer becomes unable to pay their electric bill, including the cost recovery charge for this program, service will be disconnected in accordance with the Commission Rules. In the event a customer’s electric service is disconnected for non-payment, the Company will seek to recover payment </w:t>
      </w:r>
      <w:r w:rsidR="00B74D98" w:rsidRPr="001C22CD">
        <w:rPr>
          <w:rFonts w:cs="Arial"/>
        </w:rPr>
        <w:t xml:space="preserve">through the residential DSM tariff </w:t>
      </w:r>
      <w:r w:rsidRPr="001C22CD">
        <w:rPr>
          <w:rFonts w:cs="Arial"/>
        </w:rPr>
        <w:t>for the amount owed by</w:t>
      </w:r>
      <w:r w:rsidR="00B74D98">
        <w:rPr>
          <w:rFonts w:cs="Arial"/>
        </w:rPr>
        <w:t xml:space="preserve"> the</w:t>
      </w:r>
      <w:r w:rsidRPr="001C22CD">
        <w:rPr>
          <w:rFonts w:cs="Arial"/>
        </w:rPr>
        <w:t xml:space="preserve"> disconnected customer for the duration of any lapse in electric service payment. Furthermore, should Georgia Power be unable to fully recover the cost of the installed upgrades under the new tariff, those remaining costs will be included for recovery in the residential DSM tariff.</w:t>
      </w:r>
    </w:p>
    <w:p w14:paraId="6FF64FC8" w14:textId="3578D4FC" w:rsidR="001C22CD" w:rsidRPr="001C22CD" w:rsidRDefault="001C22CD" w:rsidP="001C22CD">
      <w:pPr>
        <w:rPr>
          <w:rFonts w:cs="Arial"/>
        </w:rPr>
      </w:pPr>
      <w:r w:rsidRPr="001C22CD">
        <w:rPr>
          <w:rFonts w:cs="Arial"/>
        </w:rPr>
        <w:t>In addition to the tariff-based offering, the program includes customer education and awareness campaigns, and contractor partnerships and training.</w:t>
      </w:r>
    </w:p>
    <w:p w14:paraId="559AD655" w14:textId="66259465" w:rsidR="0085625D" w:rsidRPr="006D2A1C" w:rsidRDefault="001C22CD" w:rsidP="001C22CD">
      <w:pPr>
        <w:rPr>
          <w:rFonts w:eastAsia="Arial" w:cs="Times New Roman"/>
          <w:color w:val="4D4D4D"/>
        </w:rPr>
      </w:pPr>
      <w:r w:rsidRPr="001C22CD">
        <w:rPr>
          <w:rFonts w:cs="Arial"/>
        </w:rPr>
        <w:t>During the pilot, Georgia Power intends to recover only the cost of the energy efficiency upgrades (measures) and installation costs (including labor) through the Income-Qualified Tariff. However, costs for program administration, customer education and awareness campaigns, oversight and evaluation costs will be recovered as part of the residential DSM Tariff. Georgia Power estimates that the cost of the Income-Qualified Tariff-Based Program to be six million dollars</w:t>
      </w:r>
      <w:r w:rsidR="00843F7D">
        <w:rPr>
          <w:rFonts w:cs="Arial"/>
        </w:rPr>
        <w:t xml:space="preserve"> as</w:t>
      </w:r>
      <w:r w:rsidRPr="001C22CD">
        <w:rPr>
          <w:rFonts w:cs="Arial"/>
        </w:rPr>
        <w:t xml:space="preserve"> filed in Appendix H </w:t>
      </w:r>
      <w:r w:rsidR="00843F7D">
        <w:rPr>
          <w:rFonts w:cs="Arial"/>
        </w:rPr>
        <w:t>of the</w:t>
      </w:r>
      <w:r w:rsidRPr="001C22CD">
        <w:rPr>
          <w:rFonts w:cs="Arial"/>
        </w:rPr>
        <w:t xml:space="preserve"> Company’s 2019 DSM Certification Application in Docket No. 42311.</w:t>
      </w:r>
    </w:p>
    <w:p w14:paraId="529D59D8" w14:textId="00514AD9" w:rsidR="00024A73" w:rsidRPr="00AE1072" w:rsidRDefault="00B97523" w:rsidP="00817EA7">
      <w:pPr>
        <w:pStyle w:val="Heading2"/>
        <w:rPr>
          <w:rFonts w:eastAsia="Times New Roman"/>
        </w:rPr>
      </w:pPr>
      <w:bookmarkStart w:id="121" w:name="_Toc536209140"/>
      <w:r>
        <w:rPr>
          <w:rFonts w:eastAsia="Times New Roman"/>
        </w:rPr>
        <w:t>DSM Resource Assessment and Initial Cost</w:t>
      </w:r>
      <w:r w:rsidR="005C06B8">
        <w:rPr>
          <w:rFonts w:eastAsia="Times New Roman"/>
        </w:rPr>
        <w:t>-</w:t>
      </w:r>
      <w:r>
        <w:rPr>
          <w:rFonts w:eastAsia="Times New Roman"/>
        </w:rPr>
        <w:t>Effectiveness Screening</w:t>
      </w:r>
      <w:bookmarkEnd w:id="121"/>
    </w:p>
    <w:p w14:paraId="51B0356D" w14:textId="77777777" w:rsidR="009C3295" w:rsidRPr="006D2A1C" w:rsidRDefault="009C3295" w:rsidP="00817EA7">
      <w:pPr>
        <w:pStyle w:val="Heading3"/>
      </w:pPr>
      <w:bookmarkStart w:id="122" w:name="_Toc347116309"/>
      <w:bookmarkStart w:id="123" w:name="_Toc432681247"/>
      <w:bookmarkStart w:id="124" w:name="_Toc441582913"/>
      <w:r w:rsidRPr="006D2A1C">
        <w:t>Assessment and Screening Methodology</w:t>
      </w:r>
      <w:bookmarkEnd w:id="122"/>
      <w:bookmarkEnd w:id="123"/>
      <w:bookmarkEnd w:id="124"/>
    </w:p>
    <w:p w14:paraId="12DD0D15" w14:textId="77777777" w:rsidR="004C3059" w:rsidRPr="006D2A1C" w:rsidRDefault="004C3059" w:rsidP="004C3059">
      <w:pPr>
        <w:rPr>
          <w:rFonts w:eastAsia="Arial" w:cs="Times New Roman"/>
          <w:color w:val="4D4D4D"/>
        </w:rPr>
      </w:pPr>
      <w:bookmarkStart w:id="125" w:name="_Toc347116310"/>
      <w:bookmarkStart w:id="126" w:name="_Toc432681248"/>
      <w:bookmarkStart w:id="127" w:name="_Toc441582914"/>
      <w:r w:rsidRPr="006D2A1C">
        <w:rPr>
          <w:rFonts w:eastAsia="Arial" w:cs="Times New Roman"/>
          <w:color w:val="4D4D4D"/>
        </w:rPr>
        <w:t xml:space="preserve">The assessment and screening methodology for DSM measures used in this IRP included identifying DSM measures and programs with input from the DSMWG. </w:t>
      </w:r>
      <w:r>
        <w:rPr>
          <w:rFonts w:eastAsia="Arial" w:cs="Times New Roman"/>
          <w:color w:val="4D4D4D"/>
        </w:rPr>
        <w:t>E</w:t>
      </w:r>
      <w:r w:rsidRPr="006D2A1C">
        <w:rPr>
          <w:rFonts w:eastAsia="Arial" w:cs="Times New Roman"/>
          <w:color w:val="4D4D4D"/>
        </w:rPr>
        <w:t>conomic evaluations were performed for each measure and program to determine the program cost-effectiveness based on the industry-standard benefit/cost tests and as required by the Commission IRP rules. The tests conducted are the RIM Test, TRC Test, Participants Test (“PT”), Program Administrator Cost Test (“PACT”), and Societal Cost Test (“SCT”). The RIM Test assesses fairness and equity by measuring what happens to customer</w:t>
      </w:r>
      <w:r>
        <w:rPr>
          <w:rFonts w:eastAsia="Arial" w:cs="Times New Roman"/>
          <w:color w:val="4D4D4D"/>
        </w:rPr>
        <w:t>s’</w:t>
      </w:r>
      <w:r w:rsidRPr="006D2A1C">
        <w:rPr>
          <w:rFonts w:eastAsia="Arial" w:cs="Times New Roman"/>
          <w:color w:val="4D4D4D"/>
        </w:rPr>
        <w:t xml:space="preserve"> rates due to changes in utility revenues and operating costs caused by the program. The TRC Test assesses economic efficiency and societal impact by measuring the net costs of a demand-side management program as a resource option based on the total costs of the program, including both the participants’ and the utility’s costs. The PT assesses the impact on a program participant by measuring the quantifiable benefits and costs to the customer due to participation in a program. The PACT assesses the net costs of a DSM program as a resource option based on the costs incurred by the program administrator (including incentive costs) excluding any net costs incurred by the participant. The SCT is a variant of the TRC </w:t>
      </w:r>
      <w:r>
        <w:rPr>
          <w:rFonts w:eastAsia="Arial" w:cs="Times New Roman"/>
          <w:color w:val="4D4D4D"/>
        </w:rPr>
        <w:t>T</w:t>
      </w:r>
      <w:r w:rsidRPr="006D2A1C">
        <w:rPr>
          <w:rFonts w:eastAsia="Arial" w:cs="Times New Roman"/>
          <w:color w:val="4D4D4D"/>
        </w:rPr>
        <w:t>est and includes an adder to avoided fuel costs to simulate environmental externalities.</w:t>
      </w:r>
    </w:p>
    <w:p w14:paraId="2DC0DB67" w14:textId="20105232" w:rsidR="0085625D" w:rsidRPr="006D2A1C" w:rsidRDefault="004C3059" w:rsidP="004C3059">
      <w:pPr>
        <w:rPr>
          <w:rFonts w:eastAsia="Arial" w:cs="Times New Roman"/>
          <w:color w:val="4D4D4D"/>
        </w:rPr>
      </w:pPr>
      <w:r w:rsidRPr="006D2A1C">
        <w:rPr>
          <w:rFonts w:eastAsia="Arial" w:cs="Times New Roman"/>
          <w:color w:val="4D4D4D"/>
        </w:rPr>
        <w:t>The Company met with</w:t>
      </w:r>
      <w:r>
        <w:rPr>
          <w:rFonts w:eastAsia="Arial" w:cs="Times New Roman"/>
          <w:color w:val="4D4D4D"/>
        </w:rPr>
        <w:t xml:space="preserve"> the DSMWG to discuss and share </w:t>
      </w:r>
      <w:r w:rsidRPr="006D2A1C">
        <w:rPr>
          <w:rFonts w:eastAsia="Arial" w:cs="Times New Roman"/>
          <w:color w:val="4D4D4D"/>
        </w:rPr>
        <w:t xml:space="preserve">presentations related to DSM program design details eight </w:t>
      </w:r>
      <w:r>
        <w:rPr>
          <w:rFonts w:eastAsia="Arial" w:cs="Times New Roman"/>
          <w:color w:val="4D4D4D"/>
        </w:rPr>
        <w:t>times</w:t>
      </w:r>
      <w:r w:rsidRPr="006D2A1C">
        <w:rPr>
          <w:rFonts w:eastAsia="Arial" w:cs="Times New Roman"/>
          <w:color w:val="4D4D4D"/>
        </w:rPr>
        <w:t xml:space="preserve"> in 2017 and 2018. A smaller sub-group of the DSMWG met and identified the program concepts and measures considered for economic screening in support of the 2019 IRP development. Input from the sub-group participants was used in developing the list of programs and measures within programs to analyze. This list was shared with the larger DSMWG for solicitation of additional feedback on this process. An agreement among certain parties of the DSMWG was reached regarding some programs to include in the analysis of the </w:t>
      </w:r>
      <w:r w:rsidR="003B152C" w:rsidRPr="006D2A1C">
        <w:rPr>
          <w:rFonts w:eastAsia="Arial" w:cs="Times New Roman"/>
          <w:color w:val="4D4D4D"/>
        </w:rPr>
        <w:t xml:space="preserve">DSMWG’s </w:t>
      </w:r>
      <w:r w:rsidRPr="006D2A1C">
        <w:rPr>
          <w:rFonts w:eastAsia="Arial" w:cs="Times New Roman"/>
          <w:color w:val="4D4D4D"/>
        </w:rPr>
        <w:t xml:space="preserve">Advocacy Case. The preliminary results of the program economic screening were also shared with the DSMWG in </w:t>
      </w:r>
      <w:r>
        <w:rPr>
          <w:rFonts w:eastAsia="Arial" w:cs="Times New Roman"/>
          <w:color w:val="4D4D4D"/>
        </w:rPr>
        <w:t>November</w:t>
      </w:r>
      <w:r w:rsidRPr="006D2A1C">
        <w:rPr>
          <w:rFonts w:eastAsia="Arial" w:cs="Times New Roman"/>
          <w:color w:val="4D4D4D"/>
        </w:rPr>
        <w:t xml:space="preserve"> 2018 in advance of the Company’s filing.</w:t>
      </w:r>
    </w:p>
    <w:p w14:paraId="3C96DD58" w14:textId="77777777" w:rsidR="009C3295" w:rsidRPr="006D2A1C" w:rsidRDefault="009C3295" w:rsidP="00817EA7">
      <w:pPr>
        <w:pStyle w:val="Heading3"/>
      </w:pPr>
      <w:r w:rsidRPr="006D2A1C">
        <w:t>DSM Program Economic Screening Policy</w:t>
      </w:r>
      <w:bookmarkEnd w:id="125"/>
      <w:bookmarkEnd w:id="126"/>
      <w:bookmarkEnd w:id="127"/>
    </w:p>
    <w:p w14:paraId="64E72A62" w14:textId="711DE332" w:rsidR="004C3059" w:rsidRPr="006D2A1C" w:rsidRDefault="004C3059" w:rsidP="004C3059">
      <w:pPr>
        <w:rPr>
          <w:rFonts w:eastAsia="Arial" w:cs="Times New Roman"/>
          <w:color w:val="4D4D4D"/>
        </w:rPr>
      </w:pPr>
      <w:bookmarkStart w:id="128" w:name="_Toc347116311"/>
      <w:bookmarkStart w:id="129" w:name="_Toc432681249"/>
      <w:bookmarkStart w:id="130" w:name="_Toc441582915"/>
      <w:bookmarkStart w:id="131" w:name="_Hlk526948842"/>
      <w:r w:rsidRPr="006D2A1C">
        <w:rPr>
          <w:rFonts w:eastAsia="Arial" w:cs="Times New Roman"/>
          <w:color w:val="4D4D4D"/>
        </w:rPr>
        <w:t xml:space="preserve">The Company continues to follow the Commission’s economic screening policy outlined in the 2004 IRP Order in Docket No. 17687, which requires the Company to offer a DSM plan that minimizes upward pressure on rates and maximizes economic efficiency. Additionally, the Company’s DSM plan treats DSM as a priority resource. In fact, the first step in the Company’s IRP process is to reduce the Company’s </w:t>
      </w:r>
      <w:r>
        <w:rPr>
          <w:rFonts w:eastAsia="Arial" w:cs="Times New Roman"/>
          <w:color w:val="4D4D4D"/>
        </w:rPr>
        <w:t>load</w:t>
      </w:r>
      <w:r w:rsidRPr="006D2A1C">
        <w:rPr>
          <w:rFonts w:eastAsia="Arial" w:cs="Times New Roman"/>
          <w:color w:val="4D4D4D"/>
        </w:rPr>
        <w:t xml:space="preserve"> and </w:t>
      </w:r>
      <w:r>
        <w:rPr>
          <w:rFonts w:eastAsia="Arial" w:cs="Times New Roman"/>
          <w:color w:val="4D4D4D"/>
        </w:rPr>
        <w:t xml:space="preserve">energy </w:t>
      </w:r>
      <w:r w:rsidRPr="006D2A1C">
        <w:rPr>
          <w:rFonts w:eastAsia="Arial" w:cs="Times New Roman"/>
          <w:color w:val="4D4D4D"/>
        </w:rPr>
        <w:t>forecast</w:t>
      </w:r>
      <w:r>
        <w:rPr>
          <w:rFonts w:eastAsia="Arial" w:cs="Times New Roman"/>
          <w:color w:val="4D4D4D"/>
        </w:rPr>
        <w:t>s</w:t>
      </w:r>
      <w:r w:rsidRPr="006D2A1C">
        <w:rPr>
          <w:rFonts w:eastAsia="Arial" w:cs="Times New Roman"/>
          <w:color w:val="4D4D4D"/>
        </w:rPr>
        <w:t xml:space="preserve"> by the Proposed Case’s energy and demand impacts prior to developing the supply-side alternatives. The Proposed Case’s cost-effectiveness results presented herein reflect the continuation of, or modifications to, certain current DSM programs, the addition of new DSM programs, and the decertification of certain existing DSM programs. However, due to </w:t>
      </w:r>
      <w:r>
        <w:rPr>
          <w:rFonts w:eastAsia="Arial" w:cs="Times New Roman"/>
          <w:color w:val="4D4D4D"/>
        </w:rPr>
        <w:t>declin</w:t>
      </w:r>
      <w:r w:rsidR="00CE1CE1">
        <w:rPr>
          <w:rFonts w:eastAsia="Arial" w:cs="Times New Roman"/>
          <w:color w:val="4D4D4D"/>
        </w:rPr>
        <w:t xml:space="preserve">es in </w:t>
      </w:r>
      <w:r w:rsidRPr="006D2A1C">
        <w:rPr>
          <w:rFonts w:eastAsia="Arial" w:cs="Times New Roman"/>
          <w:color w:val="4D4D4D"/>
        </w:rPr>
        <w:t xml:space="preserve">avoided costs since the 2016 IRP, the rate impacts for the proposed programs will be larger than those in the DSM programs approved in the 2016 IRP. </w:t>
      </w:r>
      <w:r>
        <w:rPr>
          <w:rFonts w:eastAsia="Arial" w:cs="Times New Roman"/>
          <w:color w:val="4D4D4D"/>
        </w:rPr>
        <w:t>W</w:t>
      </w:r>
      <w:r w:rsidRPr="006D2A1C">
        <w:rPr>
          <w:rFonts w:eastAsia="Arial" w:cs="Times New Roman"/>
          <w:color w:val="4D4D4D"/>
        </w:rPr>
        <w:t xml:space="preserve">hile the DSM programs continue </w:t>
      </w:r>
      <w:r>
        <w:rPr>
          <w:rFonts w:eastAsia="Arial" w:cs="Times New Roman"/>
          <w:color w:val="4D4D4D"/>
        </w:rPr>
        <w:t xml:space="preserve">to </w:t>
      </w:r>
      <w:r w:rsidRPr="006D2A1C">
        <w:rPr>
          <w:rFonts w:eastAsia="Arial" w:cs="Times New Roman"/>
          <w:color w:val="4D4D4D"/>
        </w:rPr>
        <w:t>provide TRC benefits, such benefits are not as large as in the 2016 IRP due</w:t>
      </w:r>
      <w:r>
        <w:rPr>
          <w:rFonts w:eastAsia="Arial" w:cs="Times New Roman"/>
          <w:color w:val="4D4D4D"/>
        </w:rPr>
        <w:t xml:space="preserve"> </w:t>
      </w:r>
      <w:r w:rsidR="00BD3313">
        <w:rPr>
          <w:rFonts w:eastAsia="Arial" w:cs="Times New Roman"/>
          <w:color w:val="4D4D4D"/>
        </w:rPr>
        <w:t xml:space="preserve">to </w:t>
      </w:r>
      <w:r>
        <w:rPr>
          <w:rFonts w:eastAsia="Arial" w:cs="Times New Roman"/>
          <w:color w:val="4D4D4D"/>
        </w:rPr>
        <w:t xml:space="preserve">declining </w:t>
      </w:r>
      <w:r w:rsidRPr="006D2A1C">
        <w:rPr>
          <w:rFonts w:eastAsia="Arial" w:cs="Times New Roman"/>
          <w:color w:val="4D4D4D"/>
        </w:rPr>
        <w:t xml:space="preserve">avoided costs. The energy efficiency programs in the Company’s Proposed Case for the 2019 IRP achieve an average of </w:t>
      </w:r>
      <w:r w:rsidR="00893F11">
        <w:rPr>
          <w:rFonts w:eastAsia="Arial" w:cs="Times New Roman"/>
          <w:color w:val="4D4D4D"/>
        </w:rPr>
        <w:t>approximately</w:t>
      </w:r>
      <w:r w:rsidRPr="006D2A1C">
        <w:rPr>
          <w:rFonts w:eastAsia="Arial" w:cs="Times New Roman"/>
          <w:color w:val="4D4D4D"/>
        </w:rPr>
        <w:t xml:space="preserve"> $</w:t>
      </w:r>
      <w:r w:rsidR="00893F11" w:rsidRPr="00893F11">
        <w:rPr>
          <w:rFonts w:eastAsia="Arial" w:cs="Times New Roman"/>
          <w:color w:val="4D4D4D"/>
        </w:rPr>
        <w:t>118</w:t>
      </w:r>
      <w:r w:rsidRPr="006D2A1C">
        <w:rPr>
          <w:rFonts w:eastAsia="Arial" w:cs="Times New Roman"/>
          <w:color w:val="4D4D4D"/>
        </w:rPr>
        <w:t xml:space="preserve"> million in TRC benefits while putting upward pressure on rates of </w:t>
      </w:r>
      <w:r w:rsidR="00893F11">
        <w:rPr>
          <w:rFonts w:eastAsia="Arial" w:cs="Times New Roman"/>
          <w:color w:val="4D4D4D"/>
        </w:rPr>
        <w:t xml:space="preserve">approximately </w:t>
      </w:r>
      <w:r w:rsidRPr="006D2A1C">
        <w:rPr>
          <w:rFonts w:eastAsia="Arial" w:cs="Times New Roman"/>
          <w:color w:val="4D4D4D"/>
        </w:rPr>
        <w:t>$</w:t>
      </w:r>
      <w:r w:rsidR="00893F11" w:rsidRPr="00893F11">
        <w:rPr>
          <w:rFonts w:eastAsia="Arial" w:cs="Times New Roman"/>
          <w:color w:val="4D4D4D"/>
        </w:rPr>
        <w:t>238</w:t>
      </w:r>
      <w:r w:rsidRPr="006D2A1C">
        <w:rPr>
          <w:rFonts w:eastAsia="Arial" w:cs="Times New Roman"/>
          <w:color w:val="4D4D4D"/>
        </w:rPr>
        <w:t xml:space="preserve"> million annually over years 2020 – 2022.</w:t>
      </w:r>
      <w:r w:rsidRPr="006D2A1C" w:rsidDel="00417760">
        <w:rPr>
          <w:rFonts w:eastAsia="Arial" w:cs="Times New Roman"/>
          <w:color w:val="4D4D4D"/>
          <w:sz w:val="16"/>
          <w:szCs w:val="16"/>
        </w:rPr>
        <w:t xml:space="preserve"> </w:t>
      </w:r>
    </w:p>
    <w:p w14:paraId="1351D0C3" w14:textId="3FDEC959" w:rsidR="004C3059" w:rsidRPr="006D2A1C" w:rsidRDefault="004C3059" w:rsidP="004C3059">
      <w:pPr>
        <w:rPr>
          <w:rFonts w:eastAsia="Arial" w:cs="Times New Roman"/>
          <w:color w:val="4D4D4D"/>
        </w:rPr>
      </w:pPr>
      <w:r w:rsidRPr="006D2A1C">
        <w:rPr>
          <w:rFonts w:eastAsia="Arial" w:cs="Times New Roman"/>
          <w:color w:val="4D4D4D"/>
        </w:rPr>
        <w:t>The Aggressive Case sensitivity</w:t>
      </w:r>
      <w:r w:rsidR="006574C8">
        <w:rPr>
          <w:rFonts w:eastAsia="Arial" w:cs="Times New Roman"/>
          <w:color w:val="4D4D4D"/>
        </w:rPr>
        <w:t>’s</w:t>
      </w:r>
      <w:r w:rsidRPr="006D2A1C">
        <w:rPr>
          <w:rFonts w:eastAsia="Arial" w:cs="Times New Roman"/>
          <w:color w:val="4D4D4D"/>
        </w:rPr>
        <w:t xml:space="preserve"> cost-effectiveness results are also presented here, as required by the DSM Program Planning Approach. The Aggressive Case sensitivity includes programs from the Proposed Case, but with customer participation at higher penetration levels with higher budgets, as well as additional programs, measures, and associated budgets </w:t>
      </w:r>
      <w:r>
        <w:rPr>
          <w:rFonts w:eastAsia="Arial" w:cs="Times New Roman"/>
          <w:color w:val="4D4D4D"/>
        </w:rPr>
        <w:t xml:space="preserve">resulting in </w:t>
      </w:r>
      <w:r w:rsidR="00D80845">
        <w:rPr>
          <w:rFonts w:eastAsia="Arial" w:cs="Times New Roman"/>
          <w:color w:val="4D4D4D"/>
        </w:rPr>
        <w:t xml:space="preserve">significantly higher levels of cumulative energy </w:t>
      </w:r>
      <w:r w:rsidRPr="006D2A1C">
        <w:rPr>
          <w:rFonts w:eastAsia="Arial" w:cs="Times New Roman"/>
          <w:color w:val="4D4D4D"/>
        </w:rPr>
        <w:t>savings.</w:t>
      </w:r>
    </w:p>
    <w:p w14:paraId="44C2968A" w14:textId="7013C043" w:rsidR="004C3059" w:rsidRPr="006D2A1C" w:rsidRDefault="004C3059" w:rsidP="004C3059">
      <w:pPr>
        <w:rPr>
          <w:rFonts w:eastAsia="Arial" w:cs="Times New Roman"/>
          <w:color w:val="4D4D4D"/>
        </w:rPr>
      </w:pPr>
      <w:r w:rsidRPr="006D2A1C">
        <w:rPr>
          <w:rFonts w:eastAsia="Arial" w:cs="Times New Roman"/>
          <w:color w:val="4D4D4D"/>
        </w:rPr>
        <w:t xml:space="preserve">At the request of some members of the DSMWG, the Company agreed to analyze the Advocacy Case, which </w:t>
      </w:r>
      <w:r w:rsidR="00D80845">
        <w:rPr>
          <w:rFonts w:eastAsia="Arial" w:cs="Times New Roman"/>
          <w:color w:val="4D4D4D"/>
        </w:rPr>
        <w:t xml:space="preserve">also </w:t>
      </w:r>
      <w:r w:rsidRPr="006D2A1C">
        <w:rPr>
          <w:rFonts w:eastAsia="Arial" w:cs="Times New Roman"/>
          <w:color w:val="4D4D4D"/>
        </w:rPr>
        <w:t xml:space="preserve">achieved </w:t>
      </w:r>
      <w:r w:rsidR="00D80845">
        <w:rPr>
          <w:rFonts w:eastAsia="Arial" w:cs="Times New Roman"/>
          <w:color w:val="4D4D4D"/>
        </w:rPr>
        <w:t xml:space="preserve">significantly higher levels of </w:t>
      </w:r>
      <w:r w:rsidR="00D80845" w:rsidRPr="006D2A1C">
        <w:rPr>
          <w:rFonts w:eastAsia="Arial" w:cs="Times New Roman"/>
          <w:color w:val="4D4D4D"/>
        </w:rPr>
        <w:t>cumulative energy savings</w:t>
      </w:r>
      <w:r w:rsidRPr="006D2A1C">
        <w:rPr>
          <w:rFonts w:eastAsia="Arial" w:cs="Times New Roman"/>
          <w:color w:val="4D4D4D"/>
        </w:rPr>
        <w:t>. The</w:t>
      </w:r>
      <w:r w:rsidR="003B152C">
        <w:rPr>
          <w:rFonts w:eastAsia="Arial" w:cs="Times New Roman"/>
          <w:color w:val="4D4D4D"/>
        </w:rPr>
        <w:t xml:space="preserve"> </w:t>
      </w:r>
      <w:r w:rsidR="003B152C" w:rsidRPr="006D2A1C">
        <w:rPr>
          <w:rFonts w:eastAsia="Arial" w:cs="Times New Roman"/>
          <w:color w:val="4D4D4D"/>
        </w:rPr>
        <w:t>DSMWG’s</w:t>
      </w:r>
      <w:r w:rsidRPr="006D2A1C">
        <w:rPr>
          <w:rFonts w:eastAsia="Arial" w:cs="Times New Roman"/>
          <w:color w:val="4D4D4D"/>
        </w:rPr>
        <w:t xml:space="preserve"> Advocacy Case is a ramp up of the </w:t>
      </w:r>
      <w:r>
        <w:rPr>
          <w:rFonts w:eastAsia="Arial" w:cs="Times New Roman"/>
          <w:color w:val="4D4D4D"/>
        </w:rPr>
        <w:t>energy savings targets</w:t>
      </w:r>
      <w:r w:rsidRPr="006D2A1C">
        <w:rPr>
          <w:rFonts w:eastAsia="Arial" w:cs="Times New Roman"/>
          <w:color w:val="4D4D4D"/>
        </w:rPr>
        <w:t xml:space="preserve"> included in the Company’s Proposed Case, as well as additional programs proposed by certain members of the DSMWG.</w:t>
      </w:r>
    </w:p>
    <w:p w14:paraId="22DE5FA6" w14:textId="588E8F13" w:rsidR="0085625D" w:rsidRPr="006D2A1C" w:rsidRDefault="004C3059" w:rsidP="004C3059">
      <w:pPr>
        <w:rPr>
          <w:rFonts w:eastAsia="Arial" w:cs="Times New Roman"/>
          <w:color w:val="4D4D4D"/>
        </w:rPr>
      </w:pPr>
      <w:r w:rsidRPr="006D2A1C">
        <w:rPr>
          <w:rFonts w:eastAsia="Arial" w:cs="Times New Roman"/>
          <w:color w:val="4D4D4D"/>
        </w:rPr>
        <w:t>The higher levels of market penetration in both the</w:t>
      </w:r>
      <w:r w:rsidR="003B152C">
        <w:rPr>
          <w:rFonts w:eastAsia="Arial" w:cs="Times New Roman"/>
          <w:color w:val="4D4D4D"/>
        </w:rPr>
        <w:t xml:space="preserve"> </w:t>
      </w:r>
      <w:r w:rsidR="003B152C" w:rsidRPr="006D2A1C">
        <w:rPr>
          <w:rFonts w:eastAsia="Arial" w:cs="Times New Roman"/>
          <w:color w:val="4D4D4D"/>
        </w:rPr>
        <w:t>DSMWG’s</w:t>
      </w:r>
      <w:r w:rsidRPr="006D2A1C">
        <w:rPr>
          <w:rFonts w:eastAsia="Arial" w:cs="Times New Roman"/>
          <w:color w:val="4D4D4D"/>
        </w:rPr>
        <w:t xml:space="preserve"> Advocacy and Aggressive sensitivity cases ultimately result in substantial upward rate pressure of approximately </w:t>
      </w:r>
      <w:r w:rsidRPr="00893F11">
        <w:rPr>
          <w:rFonts w:eastAsia="Arial" w:cs="Times New Roman"/>
          <w:color w:val="4D4D4D"/>
        </w:rPr>
        <w:t>$</w:t>
      </w:r>
      <w:r w:rsidR="00893F11" w:rsidRPr="00893F11">
        <w:rPr>
          <w:rFonts w:eastAsia="Arial" w:cs="Times New Roman"/>
          <w:color w:val="4D4D4D"/>
        </w:rPr>
        <w:t>527</w:t>
      </w:r>
      <w:r w:rsidRPr="006D2A1C">
        <w:rPr>
          <w:rFonts w:eastAsia="Arial" w:cs="Times New Roman"/>
          <w:color w:val="4D4D4D"/>
        </w:rPr>
        <w:t xml:space="preserve"> million and $</w:t>
      </w:r>
      <w:r w:rsidR="00893F11" w:rsidRPr="00893F11">
        <w:rPr>
          <w:rFonts w:eastAsia="Arial" w:cs="Times New Roman"/>
          <w:color w:val="4D4D4D"/>
        </w:rPr>
        <w:t>506</w:t>
      </w:r>
      <w:r w:rsidRPr="006D2A1C">
        <w:rPr>
          <w:rFonts w:eastAsia="Arial" w:cs="Times New Roman"/>
          <w:color w:val="4D4D4D"/>
        </w:rPr>
        <w:t xml:space="preserve"> million per year, respectively, for years 2020 – 2022</w:t>
      </w:r>
      <w:r>
        <w:rPr>
          <w:rFonts w:eastAsia="Arial" w:cs="Times New Roman"/>
          <w:color w:val="4D4D4D"/>
        </w:rPr>
        <w:t>.</w:t>
      </w:r>
      <w:r w:rsidRPr="006D2A1C">
        <w:rPr>
          <w:rFonts w:eastAsia="Arial" w:cs="Times New Roman"/>
          <w:color w:val="4D4D4D"/>
        </w:rPr>
        <w:t xml:space="preserve"> Due to the impact on customer rates, the Company </w:t>
      </w:r>
      <w:r>
        <w:rPr>
          <w:rFonts w:eastAsia="Arial" w:cs="Times New Roman"/>
          <w:color w:val="4D4D4D"/>
        </w:rPr>
        <w:t>did not use the</w:t>
      </w:r>
      <w:r w:rsidRPr="006D2A1C">
        <w:rPr>
          <w:rFonts w:eastAsia="Arial" w:cs="Times New Roman"/>
          <w:color w:val="4D4D4D"/>
        </w:rPr>
        <w:t xml:space="preserve"> Advocacy Case or the Aggressive Case</w:t>
      </w:r>
      <w:r>
        <w:rPr>
          <w:rFonts w:eastAsia="Arial" w:cs="Times New Roman"/>
          <w:color w:val="4D4D4D"/>
        </w:rPr>
        <w:t>, and the Commission should not adopt them either</w:t>
      </w:r>
      <w:r w:rsidRPr="006D2A1C">
        <w:rPr>
          <w:rFonts w:eastAsia="Arial" w:cs="Times New Roman"/>
          <w:color w:val="4D4D4D"/>
        </w:rPr>
        <w:t>.</w:t>
      </w:r>
    </w:p>
    <w:p w14:paraId="1FFADC19" w14:textId="77777777" w:rsidR="009C3295" w:rsidRPr="006D2A1C" w:rsidRDefault="009C3295" w:rsidP="00817EA7">
      <w:pPr>
        <w:pStyle w:val="Heading3"/>
      </w:pPr>
      <w:r w:rsidRPr="006D2A1C">
        <w:t>Data Development</w:t>
      </w:r>
      <w:bookmarkEnd w:id="128"/>
      <w:bookmarkEnd w:id="129"/>
      <w:bookmarkEnd w:id="130"/>
    </w:p>
    <w:p w14:paraId="714D304C" w14:textId="6C90453B" w:rsidR="0085625D" w:rsidRPr="006D2A1C" w:rsidRDefault="004C3059" w:rsidP="0085625D">
      <w:pPr>
        <w:rPr>
          <w:rFonts w:eastAsia="Arial" w:cs="Times New Roman"/>
          <w:color w:val="4D4D4D"/>
        </w:rPr>
      </w:pPr>
      <w:bookmarkStart w:id="132" w:name="_Toc347116312"/>
      <w:bookmarkStart w:id="133" w:name="_Hlk526948712"/>
      <w:r w:rsidRPr="006D2A1C">
        <w:rPr>
          <w:rFonts w:eastAsia="Arial" w:cs="Times New Roman"/>
          <w:color w:val="4D4D4D"/>
        </w:rPr>
        <w:t>In developing its list of DSM measures for initial screening, the Company conducted a comprehensive review of technical information sources for demand</w:t>
      </w:r>
      <w:r>
        <w:rPr>
          <w:rFonts w:eastAsia="Arial" w:cs="Times New Roman"/>
          <w:color w:val="4D4D4D"/>
        </w:rPr>
        <w:t>-</w:t>
      </w:r>
      <w:r w:rsidRPr="006D2A1C">
        <w:rPr>
          <w:rFonts w:eastAsia="Arial" w:cs="Times New Roman"/>
          <w:color w:val="4D4D4D"/>
        </w:rPr>
        <w:t xml:space="preserve">side and energy efficiency technologies. This review evaluated the Company’s previous IRP filings, as well as reviews of new sources of information, which include industry conferences and trade associations, among others. Additional input was provided by the DSMWG members, some of whom have many years of experience in DSM program development and implementation. </w:t>
      </w:r>
      <w:r>
        <w:rPr>
          <w:rFonts w:eastAsia="Arial" w:cs="Times New Roman"/>
          <w:color w:val="4D4D4D"/>
        </w:rPr>
        <w:t>C</w:t>
      </w:r>
      <w:r w:rsidRPr="006D2A1C">
        <w:rPr>
          <w:rFonts w:eastAsia="Arial" w:cs="Times New Roman"/>
          <w:color w:val="4D4D4D"/>
        </w:rPr>
        <w:t>ustomer feedback was reviewed as a source of information for program additions and improvements</w:t>
      </w:r>
      <w:r>
        <w:rPr>
          <w:rFonts w:eastAsia="Arial" w:cs="Times New Roman"/>
          <w:color w:val="4D4D4D"/>
        </w:rPr>
        <w:t xml:space="preserve">. Additionally, </w:t>
      </w:r>
      <w:r w:rsidRPr="006D2A1C">
        <w:rPr>
          <w:rFonts w:eastAsia="Arial" w:cs="Times New Roman"/>
          <w:color w:val="4D4D4D"/>
        </w:rPr>
        <w:t xml:space="preserve">Company representatives who work closely with Georgia Power’s customers were also surveyed for their input. Information gathered was shared with the DSMWG in program development discussions. </w:t>
      </w:r>
      <w:r>
        <w:rPr>
          <w:rFonts w:eastAsia="Arial" w:cs="Times New Roman"/>
          <w:color w:val="4D4D4D"/>
        </w:rPr>
        <w:t xml:space="preserve">The results of the qualitative screening can be found in </w:t>
      </w:r>
      <w:r w:rsidR="003B152C" w:rsidRPr="003B152C">
        <w:rPr>
          <w:rFonts w:eastAsia="Arial" w:cs="Times New Roman"/>
          <w:color w:val="4D4D4D"/>
        </w:rPr>
        <w:t xml:space="preserve">DMS Program Documentation </w:t>
      </w:r>
      <w:r w:rsidR="00CE1CE1">
        <w:rPr>
          <w:rFonts w:eastAsia="Arial" w:cs="Times New Roman"/>
          <w:color w:val="4D4D4D"/>
        </w:rPr>
        <w:t xml:space="preserve">in </w:t>
      </w:r>
      <w:r w:rsidRPr="006D2A1C">
        <w:rPr>
          <w:rFonts w:eastAsia="Arial" w:cs="Times New Roman"/>
          <w:color w:val="4D4D4D"/>
        </w:rPr>
        <w:t>Technical Appendix Volume 2.</w:t>
      </w:r>
    </w:p>
    <w:p w14:paraId="5505CA26" w14:textId="77777777" w:rsidR="009C3295" w:rsidRPr="006D2A1C" w:rsidRDefault="009C3295" w:rsidP="00817EA7">
      <w:pPr>
        <w:pStyle w:val="Heading3"/>
      </w:pPr>
      <w:r w:rsidRPr="006D2A1C">
        <w:t>Residential Technology</w:t>
      </w:r>
      <w:bookmarkEnd w:id="132"/>
    </w:p>
    <w:p w14:paraId="0635E3CB" w14:textId="77777777" w:rsidR="004C3059" w:rsidRPr="006D2A1C" w:rsidRDefault="004C3059" w:rsidP="004C3059">
      <w:pPr>
        <w:rPr>
          <w:rFonts w:eastAsia="Arial" w:cs="Times New Roman"/>
          <w:color w:val="4D4D4D"/>
        </w:rPr>
      </w:pPr>
      <w:r w:rsidRPr="006D2A1C">
        <w:rPr>
          <w:rFonts w:eastAsia="Arial" w:cs="Times New Roman"/>
          <w:color w:val="4D4D4D"/>
        </w:rPr>
        <w:t xml:space="preserve">More than 100 residential DSM measures were identified for economic screening and possible inclusion in residential programs. These measures provide potential energy savings through: </w:t>
      </w:r>
    </w:p>
    <w:p w14:paraId="5C70A67B" w14:textId="77777777" w:rsidR="004C3059" w:rsidRPr="006D2A1C" w:rsidRDefault="004C3059" w:rsidP="00DD00CB">
      <w:pPr>
        <w:numPr>
          <w:ilvl w:val="0"/>
          <w:numId w:val="21"/>
        </w:numPr>
        <w:contextualSpacing/>
        <w:rPr>
          <w:rFonts w:eastAsia="Arial" w:cs="Times New Roman"/>
          <w:color w:val="4D4D4D"/>
        </w:rPr>
      </w:pPr>
      <w:r w:rsidRPr="006D2A1C">
        <w:rPr>
          <w:rFonts w:eastAsia="Arial" w:cs="Times New Roman"/>
          <w:color w:val="4D4D4D"/>
        </w:rPr>
        <w:t>Increased energy efficiency for electric equipment;</w:t>
      </w:r>
    </w:p>
    <w:p w14:paraId="68AF9E50" w14:textId="77777777" w:rsidR="004C3059" w:rsidRPr="006D2A1C" w:rsidRDefault="004C3059" w:rsidP="00DD00CB">
      <w:pPr>
        <w:numPr>
          <w:ilvl w:val="0"/>
          <w:numId w:val="21"/>
        </w:numPr>
        <w:contextualSpacing/>
        <w:rPr>
          <w:rFonts w:eastAsia="Arial" w:cs="Times New Roman"/>
          <w:color w:val="4D4D4D"/>
        </w:rPr>
      </w:pPr>
      <w:r w:rsidRPr="006D2A1C">
        <w:rPr>
          <w:rFonts w:eastAsia="Arial" w:cs="Times New Roman"/>
          <w:color w:val="4D4D4D"/>
        </w:rPr>
        <w:t>Electric space cooling and heating equipment;</w:t>
      </w:r>
    </w:p>
    <w:p w14:paraId="345956E7" w14:textId="77777777" w:rsidR="004C3059" w:rsidRPr="006D2A1C" w:rsidRDefault="004C3059" w:rsidP="00DD00CB">
      <w:pPr>
        <w:numPr>
          <w:ilvl w:val="0"/>
          <w:numId w:val="21"/>
        </w:numPr>
        <w:contextualSpacing/>
        <w:rPr>
          <w:rFonts w:eastAsia="Arial" w:cs="Times New Roman"/>
          <w:color w:val="4D4D4D"/>
        </w:rPr>
      </w:pPr>
      <w:r w:rsidRPr="006D2A1C">
        <w:rPr>
          <w:rFonts w:eastAsia="Arial" w:cs="Times New Roman"/>
          <w:color w:val="4D4D4D"/>
        </w:rPr>
        <w:t>Electric lighting;</w:t>
      </w:r>
    </w:p>
    <w:p w14:paraId="6267AEB6" w14:textId="77777777" w:rsidR="004C3059" w:rsidRPr="006D2A1C" w:rsidRDefault="004C3059" w:rsidP="00DD00CB">
      <w:pPr>
        <w:numPr>
          <w:ilvl w:val="0"/>
          <w:numId w:val="21"/>
        </w:numPr>
        <w:contextualSpacing/>
        <w:rPr>
          <w:rFonts w:eastAsia="Arial" w:cs="Times New Roman"/>
          <w:color w:val="4D4D4D"/>
        </w:rPr>
      </w:pPr>
      <w:r w:rsidRPr="006D2A1C">
        <w:rPr>
          <w:rFonts w:eastAsia="Arial" w:cs="Times New Roman"/>
          <w:color w:val="4D4D4D"/>
        </w:rPr>
        <w:t>Electric water heating;</w:t>
      </w:r>
    </w:p>
    <w:p w14:paraId="3EA6714E" w14:textId="77777777" w:rsidR="004C3059" w:rsidRPr="006D2A1C" w:rsidRDefault="004C3059" w:rsidP="00DD00CB">
      <w:pPr>
        <w:numPr>
          <w:ilvl w:val="0"/>
          <w:numId w:val="21"/>
        </w:numPr>
        <w:contextualSpacing/>
        <w:rPr>
          <w:rFonts w:eastAsia="Arial" w:cs="Times New Roman"/>
          <w:color w:val="4D4D4D"/>
        </w:rPr>
      </w:pPr>
      <w:r w:rsidRPr="006D2A1C">
        <w:rPr>
          <w:rFonts w:eastAsia="Arial" w:cs="Times New Roman"/>
          <w:color w:val="4D4D4D"/>
        </w:rPr>
        <w:t>Customer behavior improvements; and</w:t>
      </w:r>
    </w:p>
    <w:p w14:paraId="12559A7A" w14:textId="7A90A792" w:rsidR="004C3059" w:rsidRDefault="004C3059" w:rsidP="00DD00CB">
      <w:pPr>
        <w:numPr>
          <w:ilvl w:val="0"/>
          <w:numId w:val="21"/>
        </w:numPr>
        <w:contextualSpacing/>
        <w:rPr>
          <w:rFonts w:eastAsia="Arial" w:cs="Times New Roman"/>
          <w:color w:val="4D4D4D"/>
        </w:rPr>
      </w:pPr>
      <w:r w:rsidRPr="006D2A1C">
        <w:rPr>
          <w:rFonts w:eastAsia="Arial" w:cs="Times New Roman"/>
          <w:color w:val="4D4D4D"/>
        </w:rPr>
        <w:t xml:space="preserve">Heating and cooling savings resulting from improvements to the </w:t>
      </w:r>
      <w:r w:rsidR="003B152C">
        <w:rPr>
          <w:rFonts w:eastAsia="Arial" w:cs="Times New Roman"/>
          <w:color w:val="4D4D4D"/>
        </w:rPr>
        <w:t>homes</w:t>
      </w:r>
      <w:r w:rsidRPr="006D2A1C">
        <w:rPr>
          <w:rFonts w:eastAsia="Arial" w:cs="Times New Roman"/>
          <w:color w:val="4D4D4D"/>
        </w:rPr>
        <w:t xml:space="preserve"> thermal shell.</w:t>
      </w:r>
    </w:p>
    <w:p w14:paraId="7913E553" w14:textId="77777777" w:rsidR="004C3059" w:rsidRPr="006D2A1C" w:rsidRDefault="004C3059" w:rsidP="004C3059">
      <w:pPr>
        <w:ind w:left="720"/>
        <w:contextualSpacing/>
        <w:rPr>
          <w:rFonts w:eastAsia="Arial" w:cs="Times New Roman"/>
          <w:color w:val="4D4D4D"/>
        </w:rPr>
      </w:pPr>
    </w:p>
    <w:p w14:paraId="3D39D98B" w14:textId="205CD674" w:rsidR="009C3295" w:rsidRPr="006D2A1C" w:rsidRDefault="004C3059" w:rsidP="004C3059">
      <w:pPr>
        <w:rPr>
          <w:rFonts w:eastAsia="Arial" w:cs="Times New Roman"/>
          <w:color w:val="4D4D4D"/>
        </w:rPr>
      </w:pPr>
      <w:r w:rsidRPr="006D2A1C">
        <w:rPr>
          <w:rFonts w:eastAsia="Arial" w:cs="Times New Roman"/>
          <w:color w:val="4D4D4D"/>
        </w:rPr>
        <w:t xml:space="preserve">In addition to specific measures, the building type (single family </w:t>
      </w:r>
      <w:r w:rsidR="00646F0E">
        <w:rPr>
          <w:rFonts w:eastAsia="Arial" w:cs="Times New Roman"/>
          <w:color w:val="4D4D4D"/>
        </w:rPr>
        <w:t>–</w:t>
      </w:r>
      <w:r w:rsidRPr="006D2A1C">
        <w:rPr>
          <w:rFonts w:eastAsia="Arial" w:cs="Times New Roman"/>
          <w:color w:val="4D4D4D"/>
        </w:rPr>
        <w:t xml:space="preserve"> new and existing; multifamily </w:t>
      </w:r>
      <w:r w:rsidR="00646F0E">
        <w:rPr>
          <w:rFonts w:eastAsia="Arial" w:cs="Times New Roman"/>
          <w:color w:val="4D4D4D"/>
        </w:rPr>
        <w:t>–</w:t>
      </w:r>
      <w:r w:rsidRPr="006D2A1C">
        <w:rPr>
          <w:rFonts w:eastAsia="Arial" w:cs="Times New Roman"/>
          <w:color w:val="4D4D4D"/>
        </w:rPr>
        <w:t xml:space="preserve"> new and existing; or manufactured housing </w:t>
      </w:r>
      <w:r w:rsidR="00646F0E">
        <w:rPr>
          <w:rFonts w:eastAsia="Arial" w:cs="Times New Roman"/>
          <w:color w:val="4D4D4D"/>
        </w:rPr>
        <w:t>–</w:t>
      </w:r>
      <w:r w:rsidRPr="006D2A1C">
        <w:rPr>
          <w:rFonts w:eastAsia="Arial" w:cs="Times New Roman"/>
          <w:color w:val="4D4D4D"/>
        </w:rPr>
        <w:t xml:space="preserve"> new and existing) was considered in the economic analysis.</w:t>
      </w:r>
    </w:p>
    <w:p w14:paraId="6F5B8EA6" w14:textId="77777777" w:rsidR="009C3295" w:rsidRPr="006D2A1C" w:rsidRDefault="009C3295" w:rsidP="00817EA7">
      <w:pPr>
        <w:pStyle w:val="Heading3"/>
      </w:pPr>
      <w:bookmarkStart w:id="134" w:name="_Toc347116313"/>
      <w:r w:rsidRPr="006D2A1C">
        <w:t>Commercial Technology</w:t>
      </w:r>
      <w:bookmarkEnd w:id="134"/>
    </w:p>
    <w:p w14:paraId="1B3A0396" w14:textId="77777777" w:rsidR="004C3059" w:rsidRPr="006D2A1C" w:rsidRDefault="004C3059" w:rsidP="004C3059">
      <w:pPr>
        <w:rPr>
          <w:rFonts w:eastAsia="Arial" w:cs="Times New Roman"/>
          <w:color w:val="4D4D4D"/>
        </w:rPr>
      </w:pPr>
      <w:r w:rsidRPr="006D2A1C">
        <w:rPr>
          <w:rFonts w:eastAsia="Arial" w:cs="Times New Roman"/>
          <w:color w:val="4D4D4D"/>
        </w:rPr>
        <w:t>More than 125 commercial DSM measures were identified for economic screening and possible inclusion in commercial programs. These measures provide energy savings through:</w:t>
      </w:r>
    </w:p>
    <w:p w14:paraId="1BA84951" w14:textId="77777777" w:rsidR="004C3059" w:rsidRPr="00A24CC0" w:rsidRDefault="004C3059" w:rsidP="00DD00CB">
      <w:pPr>
        <w:numPr>
          <w:ilvl w:val="0"/>
          <w:numId w:val="22"/>
        </w:numPr>
        <w:contextualSpacing/>
        <w:rPr>
          <w:rFonts w:eastAsia="Arial" w:cs="Times New Roman"/>
          <w:color w:val="4D4D4D"/>
        </w:rPr>
      </w:pPr>
      <w:r w:rsidRPr="00A24CC0">
        <w:rPr>
          <w:rFonts w:eastAsia="Arial" w:cs="Times New Roman"/>
          <w:color w:val="4D4D4D"/>
        </w:rPr>
        <w:t>Increased energy efficiency for electric equipment;</w:t>
      </w:r>
    </w:p>
    <w:p w14:paraId="22116844" w14:textId="77777777" w:rsidR="004C3059" w:rsidRPr="006D2A1C" w:rsidRDefault="004C3059" w:rsidP="00DD00CB">
      <w:pPr>
        <w:numPr>
          <w:ilvl w:val="0"/>
          <w:numId w:val="22"/>
        </w:numPr>
        <w:contextualSpacing/>
        <w:rPr>
          <w:rFonts w:eastAsia="Arial" w:cs="Times New Roman"/>
          <w:color w:val="4D4D4D"/>
        </w:rPr>
      </w:pPr>
      <w:r w:rsidRPr="006D2A1C">
        <w:rPr>
          <w:rFonts w:eastAsia="Arial" w:cs="Times New Roman"/>
          <w:color w:val="4D4D4D"/>
        </w:rPr>
        <w:t>Electric space cooling and heating equipment;</w:t>
      </w:r>
    </w:p>
    <w:p w14:paraId="10D9C941" w14:textId="77777777" w:rsidR="004C3059" w:rsidRPr="006D2A1C" w:rsidRDefault="004C3059" w:rsidP="00DD00CB">
      <w:pPr>
        <w:numPr>
          <w:ilvl w:val="0"/>
          <w:numId w:val="22"/>
        </w:numPr>
        <w:contextualSpacing/>
        <w:rPr>
          <w:rFonts w:eastAsia="Arial" w:cs="Times New Roman"/>
          <w:color w:val="4D4D4D"/>
        </w:rPr>
      </w:pPr>
      <w:r w:rsidRPr="006D2A1C">
        <w:rPr>
          <w:rFonts w:eastAsia="Arial" w:cs="Times New Roman"/>
          <w:color w:val="4D4D4D"/>
        </w:rPr>
        <w:t>Electric lighting;</w:t>
      </w:r>
    </w:p>
    <w:p w14:paraId="0E0A8035" w14:textId="77777777" w:rsidR="004C3059" w:rsidRPr="006D2A1C" w:rsidRDefault="004C3059" w:rsidP="00DD00CB">
      <w:pPr>
        <w:numPr>
          <w:ilvl w:val="0"/>
          <w:numId w:val="22"/>
        </w:numPr>
        <w:contextualSpacing/>
        <w:rPr>
          <w:rFonts w:eastAsia="Arial" w:cs="Times New Roman"/>
          <w:color w:val="4D4D4D"/>
        </w:rPr>
      </w:pPr>
      <w:r w:rsidRPr="006D2A1C">
        <w:rPr>
          <w:rFonts w:eastAsia="Arial" w:cs="Times New Roman"/>
          <w:color w:val="4D4D4D"/>
        </w:rPr>
        <w:t xml:space="preserve">Electric water heating; </w:t>
      </w:r>
    </w:p>
    <w:p w14:paraId="43E53092" w14:textId="77777777" w:rsidR="004C3059" w:rsidRPr="006D2A1C" w:rsidRDefault="004C3059" w:rsidP="00DD00CB">
      <w:pPr>
        <w:numPr>
          <w:ilvl w:val="0"/>
          <w:numId w:val="22"/>
        </w:numPr>
        <w:contextualSpacing/>
        <w:rPr>
          <w:rFonts w:eastAsia="Arial" w:cs="Times New Roman"/>
          <w:color w:val="4D4D4D"/>
        </w:rPr>
      </w:pPr>
      <w:r w:rsidRPr="006D2A1C">
        <w:rPr>
          <w:rFonts w:eastAsia="Arial" w:cs="Times New Roman"/>
          <w:color w:val="4D4D4D"/>
        </w:rPr>
        <w:t>Customer behavior improvements; and</w:t>
      </w:r>
    </w:p>
    <w:p w14:paraId="4A85172C" w14:textId="77777777" w:rsidR="004C3059" w:rsidRDefault="004C3059" w:rsidP="00DD00CB">
      <w:pPr>
        <w:numPr>
          <w:ilvl w:val="0"/>
          <w:numId w:val="22"/>
        </w:numPr>
        <w:contextualSpacing/>
        <w:rPr>
          <w:rFonts w:eastAsia="Arial" w:cs="Times New Roman"/>
          <w:color w:val="4D4D4D"/>
        </w:rPr>
      </w:pPr>
      <w:r w:rsidRPr="006D2A1C">
        <w:rPr>
          <w:rFonts w:eastAsia="Arial" w:cs="Times New Roman"/>
          <w:color w:val="4D4D4D"/>
        </w:rPr>
        <w:t>Heating and cooling savings resulting from improvements to the building’s thermal shell.</w:t>
      </w:r>
    </w:p>
    <w:p w14:paraId="6ED6CD6C" w14:textId="77777777" w:rsidR="004C3059" w:rsidRPr="006D2A1C" w:rsidRDefault="004C3059" w:rsidP="004C3059">
      <w:pPr>
        <w:ind w:left="720"/>
        <w:contextualSpacing/>
        <w:rPr>
          <w:rFonts w:eastAsia="Arial" w:cs="Times New Roman"/>
          <w:color w:val="4D4D4D"/>
        </w:rPr>
      </w:pPr>
    </w:p>
    <w:p w14:paraId="16D9810A" w14:textId="41938B4A" w:rsidR="009C3295" w:rsidRPr="006D2A1C" w:rsidRDefault="004C3059" w:rsidP="004C3059">
      <w:pPr>
        <w:rPr>
          <w:rFonts w:eastAsia="Arial" w:cs="Times New Roman"/>
          <w:color w:val="4D4D4D"/>
        </w:rPr>
      </w:pPr>
      <w:r w:rsidRPr="006D2A1C">
        <w:rPr>
          <w:rFonts w:eastAsia="Arial" w:cs="Times New Roman"/>
          <w:color w:val="4D4D4D"/>
        </w:rPr>
        <w:t>In addition to specific measures, the building type (the type of customer operation, such as schools or offices) was considered along with the construction type (new and existing) when conducting the economic analysis.</w:t>
      </w:r>
    </w:p>
    <w:p w14:paraId="31382B89" w14:textId="77777777" w:rsidR="009C3295" w:rsidRPr="006D2A1C" w:rsidRDefault="009C3295" w:rsidP="00817EA7">
      <w:pPr>
        <w:pStyle w:val="Heading3"/>
      </w:pPr>
      <w:bookmarkStart w:id="135" w:name="_Toc347116314"/>
      <w:r w:rsidRPr="006D2A1C">
        <w:t>Industrial Technology</w:t>
      </w:r>
      <w:bookmarkEnd w:id="135"/>
    </w:p>
    <w:p w14:paraId="180CCB14" w14:textId="44E06E71" w:rsidR="004C3059" w:rsidRPr="006D2A1C" w:rsidRDefault="004C3059" w:rsidP="004C3059">
      <w:pPr>
        <w:rPr>
          <w:rFonts w:eastAsia="Arial" w:cs="Times New Roman"/>
          <w:color w:val="4D4D4D"/>
        </w:rPr>
      </w:pPr>
      <w:r w:rsidRPr="006D2A1C">
        <w:rPr>
          <w:rFonts w:eastAsia="Arial" w:cs="Times New Roman"/>
          <w:color w:val="4D4D4D"/>
        </w:rPr>
        <w:t>No industrial programs are included in the Company’s Proposed Case</w:t>
      </w:r>
      <w:r>
        <w:rPr>
          <w:rFonts w:eastAsia="Arial" w:cs="Times New Roman"/>
          <w:color w:val="4D4D4D"/>
        </w:rPr>
        <w:t xml:space="preserve"> because the Company’s experience has shown that industrial customers generally adopt DSM and energy efficiency measures on their own, thus providing benefits to the system and all customers without the need for customer funded incentive programs</w:t>
      </w:r>
      <w:r w:rsidRPr="006D2A1C">
        <w:rPr>
          <w:rFonts w:eastAsia="Arial" w:cs="Times New Roman"/>
          <w:color w:val="4D4D4D"/>
        </w:rPr>
        <w:t xml:space="preserve">. </w:t>
      </w:r>
      <w:r>
        <w:rPr>
          <w:rFonts w:eastAsia="Arial" w:cs="Times New Roman"/>
          <w:color w:val="4D4D4D"/>
        </w:rPr>
        <w:t>Nevertheless, a</w:t>
      </w:r>
      <w:r w:rsidRPr="006D2A1C">
        <w:rPr>
          <w:rFonts w:eastAsia="Arial" w:cs="Times New Roman"/>
          <w:color w:val="4D4D4D"/>
        </w:rPr>
        <w:t xml:space="preserve"> total of </w:t>
      </w:r>
      <w:r>
        <w:rPr>
          <w:rFonts w:eastAsia="Arial" w:cs="Times New Roman"/>
          <w:color w:val="4D4D4D"/>
        </w:rPr>
        <w:t>five</w:t>
      </w:r>
      <w:r w:rsidRPr="006D2A1C">
        <w:rPr>
          <w:rFonts w:eastAsia="Arial" w:cs="Times New Roman"/>
          <w:color w:val="4D4D4D"/>
        </w:rPr>
        <w:t xml:space="preserve"> custom industrial DSM measure categories within one custom program were identified for economic screening and were included as part of the </w:t>
      </w:r>
      <w:r w:rsidR="003B152C" w:rsidRPr="006D2A1C">
        <w:rPr>
          <w:rFonts w:eastAsia="Arial" w:cs="Times New Roman"/>
          <w:color w:val="4D4D4D"/>
        </w:rPr>
        <w:t xml:space="preserve">DSMWG’s </w:t>
      </w:r>
      <w:r w:rsidRPr="006D2A1C">
        <w:rPr>
          <w:rFonts w:eastAsia="Arial" w:cs="Times New Roman"/>
          <w:color w:val="4D4D4D"/>
        </w:rPr>
        <w:t>Advocacy Case and Aggressive Case sensitivities. The</w:t>
      </w:r>
      <w:r>
        <w:rPr>
          <w:rFonts w:eastAsia="Arial" w:cs="Times New Roman"/>
          <w:color w:val="4D4D4D"/>
        </w:rPr>
        <w:t xml:space="preserve"> </w:t>
      </w:r>
      <w:r w:rsidRPr="006D2A1C">
        <w:rPr>
          <w:rFonts w:eastAsia="Arial" w:cs="Times New Roman"/>
          <w:color w:val="4D4D4D"/>
        </w:rPr>
        <w:t>industrial DSM measure</w:t>
      </w:r>
      <w:r>
        <w:rPr>
          <w:rFonts w:eastAsia="Arial" w:cs="Times New Roman"/>
          <w:color w:val="4D4D4D"/>
        </w:rPr>
        <w:t>s</w:t>
      </w:r>
      <w:r w:rsidRPr="006D2A1C">
        <w:rPr>
          <w:rFonts w:eastAsia="Arial" w:cs="Times New Roman"/>
          <w:color w:val="4D4D4D"/>
        </w:rPr>
        <w:t xml:space="preserve"> </w:t>
      </w:r>
      <w:r>
        <w:rPr>
          <w:rFonts w:eastAsia="Arial" w:cs="Times New Roman"/>
          <w:color w:val="4D4D4D"/>
        </w:rPr>
        <w:t>analyzed were:</w:t>
      </w:r>
    </w:p>
    <w:p w14:paraId="3DD76E85" w14:textId="77777777" w:rsidR="004C3059" w:rsidRPr="00A24CC0" w:rsidRDefault="004C3059" w:rsidP="00DD00CB">
      <w:pPr>
        <w:numPr>
          <w:ilvl w:val="0"/>
          <w:numId w:val="23"/>
        </w:numPr>
        <w:contextualSpacing/>
        <w:rPr>
          <w:rFonts w:eastAsia="Arial" w:cs="Times New Roman"/>
          <w:color w:val="4D4D4D"/>
        </w:rPr>
      </w:pPr>
      <w:r w:rsidRPr="00A24CC0">
        <w:rPr>
          <w:rFonts w:eastAsia="Arial" w:cs="Times New Roman"/>
          <w:color w:val="4D4D4D"/>
        </w:rPr>
        <w:t>Electric space cooling and heating equipment;</w:t>
      </w:r>
    </w:p>
    <w:p w14:paraId="0CB7BD42" w14:textId="77777777" w:rsidR="004C3059" w:rsidRPr="006D2A1C" w:rsidRDefault="004C3059" w:rsidP="00DD00CB">
      <w:pPr>
        <w:numPr>
          <w:ilvl w:val="0"/>
          <w:numId w:val="23"/>
        </w:numPr>
        <w:contextualSpacing/>
        <w:rPr>
          <w:rFonts w:eastAsia="Arial" w:cs="Times New Roman"/>
          <w:color w:val="4D4D4D"/>
        </w:rPr>
      </w:pPr>
      <w:r w:rsidRPr="006D2A1C">
        <w:rPr>
          <w:rFonts w:eastAsia="Arial" w:cs="Times New Roman"/>
          <w:color w:val="4D4D4D"/>
        </w:rPr>
        <w:t>Electric lighting;</w:t>
      </w:r>
    </w:p>
    <w:p w14:paraId="7FE457C0" w14:textId="77777777" w:rsidR="004C3059" w:rsidRPr="006D2A1C" w:rsidRDefault="004C3059" w:rsidP="00DD00CB">
      <w:pPr>
        <w:numPr>
          <w:ilvl w:val="0"/>
          <w:numId w:val="23"/>
        </w:numPr>
        <w:contextualSpacing/>
        <w:rPr>
          <w:rFonts w:eastAsia="Arial" w:cs="Times New Roman"/>
          <w:color w:val="4D4D4D"/>
        </w:rPr>
      </w:pPr>
      <w:r w:rsidRPr="006D2A1C">
        <w:rPr>
          <w:rFonts w:eastAsia="Arial" w:cs="Times New Roman"/>
          <w:color w:val="4D4D4D"/>
        </w:rPr>
        <w:t>Motors;</w:t>
      </w:r>
    </w:p>
    <w:p w14:paraId="76076B97" w14:textId="77777777" w:rsidR="004C3059" w:rsidRPr="006D2A1C" w:rsidRDefault="004C3059" w:rsidP="00DD00CB">
      <w:pPr>
        <w:numPr>
          <w:ilvl w:val="0"/>
          <w:numId w:val="23"/>
        </w:numPr>
        <w:contextualSpacing/>
        <w:rPr>
          <w:rFonts w:eastAsia="Arial" w:cs="Times New Roman"/>
          <w:color w:val="4D4D4D"/>
        </w:rPr>
      </w:pPr>
      <w:r>
        <w:rPr>
          <w:rFonts w:eastAsia="Arial" w:cs="Times New Roman"/>
          <w:color w:val="4D4D4D"/>
        </w:rPr>
        <w:t>P</w:t>
      </w:r>
      <w:r w:rsidRPr="006D2A1C">
        <w:rPr>
          <w:rFonts w:eastAsia="Arial" w:cs="Times New Roman"/>
          <w:color w:val="4D4D4D"/>
        </w:rPr>
        <w:t>rocess equipment;</w:t>
      </w:r>
      <w:r>
        <w:rPr>
          <w:rFonts w:eastAsia="Arial" w:cs="Times New Roman"/>
          <w:color w:val="4D4D4D"/>
        </w:rPr>
        <w:t xml:space="preserve"> and</w:t>
      </w:r>
    </w:p>
    <w:p w14:paraId="0AEB5D90" w14:textId="39516CDF" w:rsidR="009C3295" w:rsidRDefault="004C3059" w:rsidP="00DD00CB">
      <w:pPr>
        <w:numPr>
          <w:ilvl w:val="0"/>
          <w:numId w:val="23"/>
        </w:numPr>
        <w:contextualSpacing/>
        <w:rPr>
          <w:rFonts w:eastAsia="Arial" w:cs="Times New Roman"/>
          <w:color w:val="4D4D4D"/>
        </w:rPr>
      </w:pPr>
      <w:r>
        <w:rPr>
          <w:rFonts w:eastAsia="Arial" w:cs="Times New Roman"/>
          <w:color w:val="4D4D4D"/>
        </w:rPr>
        <w:t>Other industrial categories.</w:t>
      </w:r>
    </w:p>
    <w:p w14:paraId="46812859" w14:textId="77777777" w:rsidR="009C3295" w:rsidRPr="006D2A1C" w:rsidRDefault="009C3295" w:rsidP="00817EA7">
      <w:pPr>
        <w:pStyle w:val="Heading3"/>
      </w:pPr>
      <w:bookmarkStart w:id="136" w:name="_Toc347116315"/>
      <w:bookmarkStart w:id="137" w:name="_Toc432681250"/>
      <w:bookmarkStart w:id="138" w:name="_Toc441582916"/>
      <w:bookmarkEnd w:id="131"/>
      <w:bookmarkEnd w:id="133"/>
      <w:r w:rsidRPr="006D2A1C">
        <w:t>Economic Screening</w:t>
      </w:r>
      <w:bookmarkEnd w:id="136"/>
      <w:bookmarkEnd w:id="137"/>
      <w:bookmarkEnd w:id="138"/>
    </w:p>
    <w:p w14:paraId="43A35B90" w14:textId="67674B82" w:rsidR="004C3059" w:rsidRPr="006D2A1C" w:rsidRDefault="004C3059" w:rsidP="004C3059">
      <w:pPr>
        <w:rPr>
          <w:rFonts w:eastAsia="Arial" w:cs="Times New Roman"/>
          <w:color w:val="4D4D4D"/>
        </w:rPr>
      </w:pPr>
      <w:r w:rsidRPr="006D2A1C">
        <w:rPr>
          <w:rFonts w:eastAsia="Arial" w:cs="Times New Roman"/>
          <w:color w:val="4D4D4D"/>
        </w:rPr>
        <w:t xml:space="preserve">Energy consumption and savings were calculated for all programs that were passed to economic screening. First, the energy usage characteristics for weather-sensitive HVAC and thermal shell measures were calculated using an engineering simulation model (“EnerSim”). EnerSim is described in </w:t>
      </w:r>
      <w:r>
        <w:rPr>
          <w:rFonts w:eastAsia="Arial" w:cs="Times New Roman"/>
          <w:color w:val="4D4D4D"/>
        </w:rPr>
        <w:fldChar w:fldCharType="begin"/>
      </w:r>
      <w:r>
        <w:rPr>
          <w:rFonts w:eastAsia="Arial" w:cs="Times New Roman"/>
          <w:color w:val="4D4D4D"/>
        </w:rPr>
        <w:instrText xml:space="preserve"> REF _Ref533152704 \n \h </w:instrText>
      </w:r>
      <w:r>
        <w:rPr>
          <w:rFonts w:eastAsia="Arial" w:cs="Times New Roman"/>
          <w:color w:val="4D4D4D"/>
        </w:rPr>
      </w:r>
      <w:r>
        <w:rPr>
          <w:rFonts w:eastAsia="Arial" w:cs="Times New Roman"/>
          <w:color w:val="4D4D4D"/>
        </w:rPr>
        <w:fldChar w:fldCharType="separate"/>
      </w:r>
      <w:r w:rsidR="00F33DA2">
        <w:rPr>
          <w:rFonts w:eastAsia="Arial" w:cs="Times New Roman"/>
          <w:color w:val="4D4D4D"/>
        </w:rPr>
        <w:t>ATTACHMENT A</w:t>
      </w:r>
      <w:r>
        <w:rPr>
          <w:rFonts w:eastAsia="Arial" w:cs="Times New Roman"/>
          <w:color w:val="4D4D4D"/>
        </w:rPr>
        <w:fldChar w:fldCharType="end"/>
      </w:r>
      <w:r w:rsidRPr="006D2A1C">
        <w:rPr>
          <w:rFonts w:eastAsia="Arial" w:cs="Times New Roman"/>
          <w:color w:val="4D4D4D"/>
        </w:rPr>
        <w:t>. Second, each potential end-use measure that was passed to economic screening was then evaluated using PRICEM</w:t>
      </w:r>
      <w:r w:rsidR="00F96001">
        <w:rPr>
          <w:rFonts w:eastAsia="Arial" w:cs="Times New Roman"/>
          <w:color w:val="4D4D4D"/>
        </w:rPr>
        <w:t xml:space="preserve">, which </w:t>
      </w:r>
      <w:r w:rsidRPr="006D2A1C">
        <w:rPr>
          <w:rFonts w:eastAsia="Arial" w:cs="Times New Roman"/>
          <w:color w:val="4D4D4D"/>
        </w:rPr>
        <w:t xml:space="preserve">is described in </w:t>
      </w:r>
      <w:r>
        <w:rPr>
          <w:rFonts w:eastAsia="Arial" w:cs="Times New Roman"/>
          <w:color w:val="4D4D4D"/>
        </w:rPr>
        <w:fldChar w:fldCharType="begin"/>
      </w:r>
      <w:r>
        <w:rPr>
          <w:rFonts w:eastAsia="Arial" w:cs="Times New Roman"/>
          <w:color w:val="4D4D4D"/>
        </w:rPr>
        <w:instrText xml:space="preserve"> REF _Ref533152718 \n \h </w:instrText>
      </w:r>
      <w:r>
        <w:rPr>
          <w:rFonts w:eastAsia="Arial" w:cs="Times New Roman"/>
          <w:color w:val="4D4D4D"/>
        </w:rPr>
      </w:r>
      <w:r>
        <w:rPr>
          <w:rFonts w:eastAsia="Arial" w:cs="Times New Roman"/>
          <w:color w:val="4D4D4D"/>
        </w:rPr>
        <w:fldChar w:fldCharType="separate"/>
      </w:r>
      <w:r w:rsidR="00F33DA2">
        <w:rPr>
          <w:rFonts w:eastAsia="Arial" w:cs="Times New Roman"/>
          <w:color w:val="4D4D4D"/>
        </w:rPr>
        <w:t>ATTACHMENT A</w:t>
      </w:r>
      <w:r>
        <w:rPr>
          <w:rFonts w:eastAsia="Arial" w:cs="Times New Roman"/>
          <w:color w:val="4D4D4D"/>
        </w:rPr>
        <w:fldChar w:fldCharType="end"/>
      </w:r>
      <w:r w:rsidRPr="006D2A1C">
        <w:rPr>
          <w:rFonts w:eastAsia="Arial" w:cs="Times New Roman"/>
          <w:color w:val="4D4D4D"/>
        </w:rPr>
        <w:t>.</w:t>
      </w:r>
    </w:p>
    <w:p w14:paraId="65035485" w14:textId="6CFC823F" w:rsidR="009C3295" w:rsidRPr="006D2A1C" w:rsidRDefault="004C3059" w:rsidP="004C3059">
      <w:pPr>
        <w:rPr>
          <w:rFonts w:eastAsia="Arial" w:cs="Times New Roman"/>
          <w:color w:val="4D4D4D"/>
        </w:rPr>
      </w:pPr>
      <w:r w:rsidRPr="006D2A1C">
        <w:rPr>
          <w:rFonts w:eastAsia="Arial" w:cs="Times New Roman"/>
          <w:color w:val="4D4D4D"/>
        </w:rPr>
        <w:t>The following industry-standard, DSM cost-effectiveness tests were calculated for each measure and subsequent programs: the RIM Test, the TRC Test, the PT, the PACT, and the SCT. Additionally, the Cost of Saved Energy (“CSE”), also referred to as Levelized Cost per annual kWh saved, is provided for each program screened. The CSE is the total cost per kWh of realizing the efficiency improvement. CSE is determined by dividing levelized program costs by the annual energy savings, as shown in the following equation. Levelized program costs are calculated using a Capital Recovery Factor (“CRF”), which incorporates the number of years that the energy savings persist, and an annual discount rate.</w:t>
      </w:r>
    </w:p>
    <w:p w14:paraId="4BCE5838" w14:textId="77777777" w:rsidR="009C3295" w:rsidRPr="006D2A1C" w:rsidRDefault="009C3295" w:rsidP="009C3295">
      <w:pPr>
        <w:jc w:val="center"/>
        <w:rPr>
          <w:rFonts w:eastAsia="Arial" w:cs="Times New Roman"/>
          <w:color w:val="4D4D4D"/>
        </w:rPr>
      </w:pPr>
      <w:r w:rsidRPr="006D2A1C">
        <w:rPr>
          <w:rFonts w:eastAsia="Arial" w:cs="Times New Roman"/>
          <w:color w:val="4D4D4D"/>
        </w:rPr>
        <w:t>CSE Equation:</w:t>
      </w:r>
    </w:p>
    <w:p w14:paraId="461B3762" w14:textId="77777777" w:rsidR="009C3295" w:rsidRPr="006D2A1C" w:rsidRDefault="009C3295" w:rsidP="009C3295">
      <w:pPr>
        <w:jc w:val="center"/>
        <w:rPr>
          <w:rFonts w:eastAsia="Arial" w:cs="Times New Roman"/>
          <w:color w:val="4D4D4D"/>
        </w:rPr>
      </w:pPr>
      <m:oMathPara>
        <m:oMath>
          <m:r>
            <w:rPr>
              <w:rFonts w:ascii="Cambria Math" w:eastAsia="Arial" w:hAnsi="Cambria Math" w:cs="Times New Roman"/>
              <w:color w:val="4D4D4D"/>
            </w:rPr>
            <m:t xml:space="preserve">CSE= </m:t>
          </m:r>
          <m:f>
            <m:fPr>
              <m:ctrlPr>
                <w:rPr>
                  <w:rFonts w:ascii="Cambria Math" w:eastAsia="Arial" w:hAnsi="Cambria Math" w:cs="Times New Roman"/>
                  <w:i/>
                  <w:color w:val="4D4D4D"/>
                </w:rPr>
              </m:ctrlPr>
            </m:fPr>
            <m:num>
              <m:r>
                <w:rPr>
                  <w:rFonts w:ascii="Cambria Math" w:eastAsia="Arial" w:hAnsi="Cambria Math" w:cs="Times New Roman"/>
                  <w:color w:val="4D4D4D"/>
                </w:rPr>
                <m:t xml:space="preserve">Program Costs </m:t>
              </m:r>
              <m:d>
                <m:dPr>
                  <m:ctrlPr>
                    <w:rPr>
                      <w:rFonts w:ascii="Cambria Math" w:eastAsia="Arial" w:hAnsi="Cambria Math" w:cs="Times New Roman"/>
                      <w:i/>
                      <w:color w:val="4D4D4D"/>
                    </w:rPr>
                  </m:ctrlPr>
                </m:dPr>
                <m:e>
                  <m:r>
                    <w:rPr>
                      <w:rFonts w:ascii="Cambria Math" w:eastAsia="Arial" w:hAnsi="Cambria Math" w:cs="Times New Roman"/>
                      <w:color w:val="4D4D4D"/>
                    </w:rPr>
                    <m:t>$</m:t>
                  </m:r>
                </m:e>
              </m:d>
              <m:r>
                <w:rPr>
                  <w:rFonts w:ascii="Cambria Math" w:eastAsia="Arial" w:hAnsi="Cambria Math" w:cs="Times New Roman"/>
                  <w:color w:val="4D4D4D"/>
                </w:rPr>
                <m:t xml:space="preserve"> ×CRF</m:t>
              </m:r>
            </m:num>
            <m:den>
              <m:r>
                <w:rPr>
                  <w:rFonts w:ascii="Cambria Math" w:eastAsia="Arial" w:hAnsi="Cambria Math" w:cs="Times New Roman"/>
                  <w:color w:val="4D4D4D"/>
                </w:rPr>
                <m:t>Annual Energy Savings (kWh)</m:t>
              </m:r>
            </m:den>
          </m:f>
        </m:oMath>
      </m:oMathPara>
    </w:p>
    <w:p w14:paraId="2E2748E4" w14:textId="77777777" w:rsidR="00743E06" w:rsidRPr="006D2A1C" w:rsidRDefault="00743E06" w:rsidP="00743E06">
      <w:pPr>
        <w:pStyle w:val="Heading3"/>
      </w:pPr>
      <w:bookmarkStart w:id="139" w:name="_Toc441582917"/>
      <w:bookmarkStart w:id="140" w:name="_Toc432681251"/>
      <w:bookmarkStart w:id="141" w:name="_Toc347116316"/>
      <w:r w:rsidRPr="006D2A1C">
        <w:t>Long-Term Percentage Rate Impacts</w:t>
      </w:r>
      <w:bookmarkEnd w:id="139"/>
    </w:p>
    <w:p w14:paraId="088C05C4" w14:textId="184B171F" w:rsidR="009C3295" w:rsidRDefault="004C3059" w:rsidP="009C3295">
      <w:pPr>
        <w:rPr>
          <w:rFonts w:eastAsia="Arial" w:cs="Times New Roman"/>
          <w:color w:val="4D4D4D"/>
        </w:rPr>
      </w:pPr>
      <w:r>
        <w:rPr>
          <w:rFonts w:eastAsia="Arial" w:cs="Times New Roman"/>
          <w:color w:val="4D4D4D"/>
        </w:rPr>
        <w:t>As required by the 2016 IRP Order, t</w:t>
      </w:r>
      <w:r w:rsidRPr="006D2A1C">
        <w:rPr>
          <w:rFonts w:eastAsia="Arial" w:cs="Times New Roman"/>
          <w:color w:val="4D4D4D"/>
        </w:rPr>
        <w:t>he Company analyzed the long-term percentage rate impact of its DSM Proposed Case</w:t>
      </w:r>
      <w:r>
        <w:rPr>
          <w:rFonts w:eastAsia="Arial" w:cs="Times New Roman"/>
          <w:color w:val="4D4D4D"/>
        </w:rPr>
        <w:t xml:space="preserve"> and the Advocate and Aggressive sensitivity cases</w:t>
      </w:r>
      <w:r>
        <w:rPr>
          <w:rFonts w:eastAsia="Arial" w:cs="Times New Roman"/>
          <w:color w:val="4D4D4D"/>
          <w:sz w:val="16"/>
          <w:szCs w:val="16"/>
        </w:rPr>
        <w:t xml:space="preserve">. </w:t>
      </w:r>
      <w:r w:rsidRPr="006D2A1C">
        <w:rPr>
          <w:rFonts w:eastAsia="Arial" w:cs="Times New Roman"/>
          <w:color w:val="4D4D4D"/>
        </w:rPr>
        <w:t>Please see the DSM Program Documentation section of Technical Appendix Volume 2.</w:t>
      </w:r>
    </w:p>
    <w:p w14:paraId="2C150BFC" w14:textId="12CD6A46" w:rsidR="00024A73" w:rsidRPr="00AE1072" w:rsidRDefault="00B97523" w:rsidP="00817EA7">
      <w:pPr>
        <w:pStyle w:val="Heading2"/>
        <w:rPr>
          <w:rFonts w:eastAsia="Times New Roman"/>
        </w:rPr>
      </w:pPr>
      <w:bookmarkStart w:id="142" w:name="_Toc536209141"/>
      <w:bookmarkEnd w:id="140"/>
      <w:bookmarkEnd w:id="141"/>
      <w:r>
        <w:rPr>
          <w:rFonts w:eastAsia="Times New Roman"/>
        </w:rPr>
        <w:t>Demand-Side Program Development</w:t>
      </w:r>
      <w:bookmarkEnd w:id="142"/>
    </w:p>
    <w:p w14:paraId="5144D8C5" w14:textId="77777777" w:rsidR="009C3295" w:rsidRPr="006D2A1C" w:rsidRDefault="009C3295" w:rsidP="00817EA7">
      <w:pPr>
        <w:pStyle w:val="Heading3"/>
      </w:pPr>
      <w:bookmarkStart w:id="143" w:name="_Toc432681252"/>
      <w:bookmarkStart w:id="144" w:name="_Toc441582919"/>
      <w:bookmarkStart w:id="145" w:name="_Toc347116317"/>
      <w:r w:rsidRPr="006D2A1C">
        <w:t>Demand-Side Resource Policy</w:t>
      </w:r>
      <w:bookmarkEnd w:id="143"/>
      <w:bookmarkEnd w:id="144"/>
      <w:bookmarkEnd w:id="145"/>
    </w:p>
    <w:p w14:paraId="593CCFD6" w14:textId="0E657BF5" w:rsidR="009C3295" w:rsidRPr="006D2A1C" w:rsidRDefault="004C3059" w:rsidP="009C3295">
      <w:pPr>
        <w:rPr>
          <w:rFonts w:eastAsia="Arial" w:cs="Times New Roman"/>
          <w:color w:val="4D4D4D"/>
        </w:rPr>
      </w:pPr>
      <w:r w:rsidRPr="006D2A1C">
        <w:rPr>
          <w:rFonts w:eastAsia="Arial" w:cs="Times New Roman"/>
          <w:color w:val="4D4D4D"/>
        </w:rPr>
        <w:t xml:space="preserve">In the 2004 IRP Order, the Commission directed that proposed DSM plans should minimize upward pressure on rates (negative RIM results) and maximize economic efficiency (positive TRC results). The Commission further directed that the cost/benefit analysis results of each initiative should use the five tests mentioned above and should balance economic efficiency (TRC benefits) </w:t>
      </w:r>
      <w:r w:rsidR="00CE1CE1">
        <w:rPr>
          <w:rFonts w:eastAsia="Arial" w:cs="Times New Roman"/>
          <w:color w:val="4D4D4D"/>
        </w:rPr>
        <w:t>with</w:t>
      </w:r>
      <w:r w:rsidRPr="006D2A1C">
        <w:rPr>
          <w:rFonts w:eastAsia="Arial" w:cs="Times New Roman"/>
          <w:color w:val="4D4D4D"/>
        </w:rPr>
        <w:t xml:space="preserve"> fairness and equity (RIM benefits/cost). This Commission policy was affirmed in subsequent IRPs. The Company applied this same philosophy in analyzing the programs for the 2019 IRP. Consistent with the 2016 IRP Order, the Company adhered to the DSM Program Planning Approach in developing the 2019 IRP.</w:t>
      </w:r>
    </w:p>
    <w:p w14:paraId="0CFE2F85" w14:textId="77777777" w:rsidR="009C3295" w:rsidRPr="006D2A1C" w:rsidRDefault="009C3295" w:rsidP="00817EA7">
      <w:pPr>
        <w:pStyle w:val="Heading3"/>
      </w:pPr>
      <w:bookmarkStart w:id="146" w:name="_Toc347116318"/>
      <w:bookmarkStart w:id="147" w:name="_Toc432681253"/>
      <w:bookmarkStart w:id="148" w:name="_Toc441582920"/>
      <w:r w:rsidRPr="006D2A1C">
        <w:t>Twelve-Year DSM Program Plans</w:t>
      </w:r>
      <w:bookmarkEnd w:id="146"/>
      <w:bookmarkEnd w:id="147"/>
      <w:bookmarkEnd w:id="148"/>
    </w:p>
    <w:p w14:paraId="7364CCA2" w14:textId="0410C433" w:rsidR="004C3059" w:rsidRPr="006D2A1C" w:rsidRDefault="004C3059" w:rsidP="004C3059">
      <w:pPr>
        <w:rPr>
          <w:rFonts w:eastAsia="Arial" w:cs="Times New Roman"/>
          <w:color w:val="4D4D4D"/>
        </w:rPr>
      </w:pPr>
      <w:r w:rsidRPr="006D2A1C">
        <w:rPr>
          <w:rFonts w:eastAsia="Arial" w:cs="Times New Roman"/>
          <w:color w:val="4D4D4D"/>
        </w:rPr>
        <w:t xml:space="preserve">The Company has developed twelve-year program plans outlining the implementation details behind each individual program included in the Proposed Case. They are provided in the 2019 DSM </w:t>
      </w:r>
      <w:r w:rsidR="00CE1CE1">
        <w:rPr>
          <w:rFonts w:eastAsia="Arial" w:cs="Times New Roman"/>
          <w:color w:val="4D4D4D"/>
        </w:rPr>
        <w:t xml:space="preserve">Certification </w:t>
      </w:r>
      <w:r w:rsidRPr="006D2A1C">
        <w:rPr>
          <w:rFonts w:eastAsia="Arial" w:cs="Times New Roman"/>
          <w:color w:val="4D4D4D"/>
        </w:rPr>
        <w:t xml:space="preserve">Application, Docket </w:t>
      </w:r>
      <w:r>
        <w:rPr>
          <w:rFonts w:eastAsia="Arial" w:cs="Times New Roman"/>
          <w:color w:val="4D4D4D"/>
        </w:rPr>
        <w:t xml:space="preserve">No. </w:t>
      </w:r>
      <w:r w:rsidRPr="004C3059">
        <w:t>42311</w:t>
      </w:r>
      <w:r w:rsidRPr="006D2A1C">
        <w:rPr>
          <w:rFonts w:eastAsia="Arial" w:cs="Times New Roman"/>
          <w:color w:val="4D4D4D"/>
        </w:rPr>
        <w:t>.</w:t>
      </w:r>
    </w:p>
    <w:p w14:paraId="7D0B53EA" w14:textId="77777777" w:rsidR="004C3059" w:rsidRPr="006D2A1C" w:rsidRDefault="004C3059" w:rsidP="004C3059">
      <w:pPr>
        <w:rPr>
          <w:rFonts w:eastAsia="Arial" w:cs="Times New Roman"/>
          <w:color w:val="4D4D4D"/>
        </w:rPr>
      </w:pPr>
      <w:r w:rsidRPr="006D2A1C">
        <w:rPr>
          <w:rFonts w:eastAsia="Arial" w:cs="Times New Roman"/>
          <w:color w:val="4D4D4D"/>
        </w:rPr>
        <w:t>Included in each program plan are the following details:</w:t>
      </w:r>
    </w:p>
    <w:p w14:paraId="369F3BF5" w14:textId="77777777" w:rsidR="004C3059" w:rsidRPr="006D2A1C" w:rsidRDefault="004C3059" w:rsidP="00DD00CB">
      <w:pPr>
        <w:numPr>
          <w:ilvl w:val="0"/>
          <w:numId w:val="24"/>
        </w:numPr>
        <w:contextualSpacing/>
        <w:rPr>
          <w:rFonts w:eastAsia="Arial" w:cs="Times New Roman"/>
          <w:color w:val="4D4D4D"/>
        </w:rPr>
      </w:pPr>
      <w:r w:rsidRPr="006D2A1C">
        <w:rPr>
          <w:rFonts w:eastAsia="Arial" w:cs="Times New Roman"/>
          <w:color w:val="4D4D4D"/>
        </w:rPr>
        <w:t>Program Summary – outlines the goals of the program;</w:t>
      </w:r>
    </w:p>
    <w:p w14:paraId="15CBFAE7" w14:textId="77777777" w:rsidR="004C3059" w:rsidRPr="006D2A1C" w:rsidRDefault="004C3059" w:rsidP="00DD00CB">
      <w:pPr>
        <w:numPr>
          <w:ilvl w:val="0"/>
          <w:numId w:val="24"/>
        </w:numPr>
        <w:contextualSpacing/>
        <w:rPr>
          <w:rFonts w:eastAsia="Arial" w:cs="Times New Roman"/>
          <w:color w:val="4D4D4D"/>
        </w:rPr>
      </w:pPr>
      <w:r w:rsidRPr="006D2A1C">
        <w:rPr>
          <w:rFonts w:eastAsia="Arial" w:cs="Times New Roman"/>
          <w:color w:val="4D4D4D"/>
        </w:rPr>
        <w:t>Program Structure – outlines the intended participant eligibility, home or facility eligibility, and specific measures and incentives where appropriate;</w:t>
      </w:r>
    </w:p>
    <w:p w14:paraId="4D651BAD" w14:textId="77777777" w:rsidR="004C3059" w:rsidRPr="006D2A1C" w:rsidRDefault="004C3059" w:rsidP="00DD00CB">
      <w:pPr>
        <w:numPr>
          <w:ilvl w:val="0"/>
          <w:numId w:val="24"/>
        </w:numPr>
        <w:contextualSpacing/>
        <w:rPr>
          <w:rFonts w:eastAsia="Arial" w:cs="Times New Roman"/>
          <w:color w:val="4D4D4D"/>
        </w:rPr>
      </w:pPr>
      <w:r w:rsidRPr="006D2A1C">
        <w:rPr>
          <w:rFonts w:eastAsia="Arial" w:cs="Times New Roman"/>
          <w:color w:val="4D4D4D"/>
        </w:rPr>
        <w:t>Program Implementation – outlines the intended target market, key market players, as well as marketing and outreach plans;</w:t>
      </w:r>
    </w:p>
    <w:p w14:paraId="3AE398AF" w14:textId="77777777" w:rsidR="004C3059" w:rsidRPr="006D2A1C" w:rsidRDefault="004C3059" w:rsidP="00DD00CB">
      <w:pPr>
        <w:numPr>
          <w:ilvl w:val="0"/>
          <w:numId w:val="24"/>
        </w:numPr>
        <w:contextualSpacing/>
        <w:rPr>
          <w:rFonts w:eastAsia="Arial" w:cs="Times New Roman"/>
          <w:color w:val="4D4D4D"/>
        </w:rPr>
      </w:pPr>
      <w:r w:rsidRPr="006D2A1C">
        <w:rPr>
          <w:rFonts w:eastAsia="Arial" w:cs="Times New Roman"/>
          <w:color w:val="4D4D4D"/>
        </w:rPr>
        <w:t>Program Operation – outlines the intended customer participation process and program administrative procedures; and</w:t>
      </w:r>
    </w:p>
    <w:p w14:paraId="48654D70" w14:textId="77777777" w:rsidR="004C3059" w:rsidRDefault="004C3059" w:rsidP="00DD00CB">
      <w:pPr>
        <w:numPr>
          <w:ilvl w:val="0"/>
          <w:numId w:val="24"/>
        </w:numPr>
        <w:rPr>
          <w:rFonts w:eastAsia="Arial" w:cs="Times New Roman"/>
          <w:color w:val="4D4D4D"/>
        </w:rPr>
      </w:pPr>
      <w:r w:rsidRPr="006D2A1C">
        <w:rPr>
          <w:rFonts w:eastAsia="Arial" w:cs="Times New Roman"/>
          <w:color w:val="4D4D4D"/>
        </w:rPr>
        <w:t>Program Evaluation – outlines the intended performance metrics, expected program budget, cost-effectiveness expectations, as well as plans to develop an independent third-party evaluation plan</w:t>
      </w:r>
      <w:r w:rsidRPr="006D2A1C">
        <w:rPr>
          <w:rFonts w:ascii="Times New Roman" w:eastAsia="Arial" w:hAnsi="Times New Roman" w:cs="Times New Roman"/>
          <w:color w:val="4D4D4D"/>
          <w:sz w:val="24"/>
          <w:szCs w:val="24"/>
        </w:rPr>
        <w:t xml:space="preserve"> </w:t>
      </w:r>
      <w:r w:rsidRPr="006D2A1C">
        <w:rPr>
          <w:rFonts w:eastAsia="Arial" w:cs="Times New Roman"/>
          <w:color w:val="4D4D4D"/>
        </w:rPr>
        <w:t>after programs are approved.</w:t>
      </w:r>
    </w:p>
    <w:p w14:paraId="41C7A3F0" w14:textId="71588FAF" w:rsidR="0085625D" w:rsidRPr="00FA3E40" w:rsidRDefault="004C3059" w:rsidP="004C3059">
      <w:pPr>
        <w:rPr>
          <w:rFonts w:eastAsia="Arial" w:cs="Times New Roman"/>
          <w:color w:val="4D4D4D"/>
        </w:rPr>
      </w:pPr>
      <w:r w:rsidRPr="00FA3E40">
        <w:rPr>
          <w:rFonts w:eastAsia="Arial" w:cs="Times New Roman"/>
          <w:color w:val="4D4D4D"/>
        </w:rPr>
        <w:t xml:space="preserve">Each of the twelve-year DSM Program Plans allows for ongoing review and modification of program design features through regular program monitoring. In addition, a formal program evaluation plan at the end of the program cycle is conducted to </w:t>
      </w:r>
      <w:r>
        <w:rPr>
          <w:rFonts w:eastAsia="Arial" w:cs="Times New Roman"/>
          <w:color w:val="4D4D4D"/>
        </w:rPr>
        <w:t>maintain cost-effectiveness</w:t>
      </w:r>
      <w:r w:rsidRPr="00FA3E40">
        <w:rPr>
          <w:rFonts w:eastAsia="Arial" w:cs="Times New Roman"/>
          <w:color w:val="4D4D4D"/>
        </w:rPr>
        <w:t>. Any significant changes to program design in support of market conditions or program economics will be included with ongoing reports filed with the Commission, program evaluation filings, and/or IRP updates. Additionally, as new measures and technologies evolve during the twelve-year filed program life, the Company may add such measures to these programs. Any new measures being added will follow the same economic screening process as those approved by the Commission, and the Commission would be made aware of any additions prior to the Company offering the new measures to customers as required.</w:t>
      </w:r>
    </w:p>
    <w:p w14:paraId="367BF350" w14:textId="07E65588" w:rsidR="00024A73" w:rsidRPr="00DA06A6" w:rsidRDefault="00B97523" w:rsidP="00817EA7">
      <w:pPr>
        <w:pStyle w:val="Heading2"/>
      </w:pPr>
      <w:bookmarkStart w:id="149" w:name="_Toc536209142"/>
      <w:r>
        <w:rPr>
          <w:rFonts w:eastAsia="Times New Roman"/>
        </w:rPr>
        <w:t>Regulatory Treatment of DSM Program Costs and the Additional Sum</w:t>
      </w:r>
      <w:bookmarkEnd w:id="149"/>
    </w:p>
    <w:p w14:paraId="5915B886" w14:textId="6268868C" w:rsidR="00FA3E40" w:rsidRPr="006D2A1C" w:rsidRDefault="004C3059" w:rsidP="00FA3E40">
      <w:pPr>
        <w:rPr>
          <w:rFonts w:eastAsia="Arial" w:cs="Times New Roman"/>
          <w:color w:val="4D4D4D"/>
        </w:rPr>
      </w:pPr>
      <w:bookmarkStart w:id="150" w:name="_Toc347116320"/>
      <w:bookmarkStart w:id="151" w:name="_Toc432681255"/>
      <w:bookmarkStart w:id="152" w:name="_Toc441582922"/>
      <w:r w:rsidRPr="006D2A1C">
        <w:rPr>
          <w:rFonts w:eastAsia="Arial" w:cs="Times New Roman"/>
          <w:color w:val="4D4D4D"/>
        </w:rPr>
        <w:t>The Company requests the continued collection of costs for all approved and certified DSM programs and activities through the existing Residential and Commercial DSM tariffs.</w:t>
      </w:r>
      <w:r w:rsidR="00B74D98">
        <w:rPr>
          <w:rFonts w:eastAsia="Arial" w:cs="Times New Roman"/>
          <w:color w:val="4D4D4D"/>
        </w:rPr>
        <w:t xml:space="preserve"> </w:t>
      </w:r>
      <w:r w:rsidR="00B74D98" w:rsidRPr="006D2A1C">
        <w:rPr>
          <w:rFonts w:eastAsia="Arial" w:cs="Times New Roman"/>
          <w:color w:val="4D4D4D"/>
        </w:rPr>
        <w:t>These tariffs will be filed as part of the Company’s 2019 base rate case and would be implemented with any approved change in rates on January 1, 2020.</w:t>
      </w:r>
      <w:r w:rsidRPr="006D2A1C">
        <w:rPr>
          <w:rFonts w:eastAsia="Arial" w:cs="Times New Roman"/>
          <w:color w:val="4D4D4D"/>
        </w:rPr>
        <w:t xml:space="preserve"> The Company also requests the continued collection of an additional sum amount for certified energy efficiency programs </w:t>
      </w:r>
      <w:r>
        <w:rPr>
          <w:rFonts w:eastAsia="Arial" w:cs="Times New Roman"/>
          <w:color w:val="4D4D4D"/>
        </w:rPr>
        <w:t xml:space="preserve">with energy savings </w:t>
      </w:r>
      <w:r w:rsidRPr="006D2A1C">
        <w:rPr>
          <w:rFonts w:eastAsia="Arial" w:cs="Times New Roman"/>
          <w:color w:val="4D4D4D"/>
        </w:rPr>
        <w:t>through these tariffs</w:t>
      </w:r>
      <w:r w:rsidR="004E36ED">
        <w:rPr>
          <w:rFonts w:eastAsia="Arial" w:cs="Times New Roman"/>
          <w:color w:val="4D4D4D"/>
        </w:rPr>
        <w:t xml:space="preserve"> pursuant to a revised additional sum</w:t>
      </w:r>
      <w:r w:rsidR="00CE1CE1">
        <w:rPr>
          <w:rFonts w:eastAsia="Arial" w:cs="Times New Roman"/>
          <w:color w:val="4D4D4D"/>
        </w:rPr>
        <w:t xml:space="preserve"> calculation</w:t>
      </w:r>
      <w:r w:rsidR="004E36ED">
        <w:rPr>
          <w:rFonts w:eastAsia="Arial" w:cs="Times New Roman"/>
          <w:color w:val="4D4D4D"/>
        </w:rPr>
        <w:t xml:space="preserve"> methodology </w:t>
      </w:r>
      <w:r w:rsidR="00A23ADE">
        <w:rPr>
          <w:rFonts w:eastAsia="Arial" w:cs="Times New Roman"/>
          <w:color w:val="4D4D4D"/>
        </w:rPr>
        <w:t xml:space="preserve">presented </w:t>
      </w:r>
      <w:r w:rsidR="004E36ED">
        <w:rPr>
          <w:rFonts w:eastAsia="Arial" w:cs="Times New Roman"/>
          <w:color w:val="4D4D4D"/>
        </w:rPr>
        <w:t>in the Company’s DSM Certification Application in Docket No. 42311</w:t>
      </w:r>
      <w:r w:rsidRPr="006D2A1C">
        <w:rPr>
          <w:rFonts w:eastAsia="Arial" w:cs="Times New Roman"/>
          <w:color w:val="4D4D4D"/>
        </w:rPr>
        <w:t xml:space="preserve">. </w:t>
      </w:r>
    </w:p>
    <w:p w14:paraId="38140B37" w14:textId="1649131E" w:rsidR="00024A73" w:rsidRPr="00AE1072" w:rsidRDefault="00B97523" w:rsidP="00817EA7">
      <w:pPr>
        <w:pStyle w:val="Heading2"/>
        <w:rPr>
          <w:rFonts w:eastAsia="Times New Roman"/>
        </w:rPr>
      </w:pPr>
      <w:bookmarkStart w:id="153" w:name="_Toc536209143"/>
      <w:r>
        <w:rPr>
          <w:rFonts w:eastAsia="Times New Roman"/>
        </w:rPr>
        <w:t>Summary of DSM Cases</w:t>
      </w:r>
      <w:bookmarkEnd w:id="150"/>
      <w:bookmarkEnd w:id="151"/>
      <w:bookmarkEnd w:id="152"/>
      <w:bookmarkEnd w:id="153"/>
    </w:p>
    <w:p w14:paraId="45D8FCC6" w14:textId="77777777" w:rsidR="004C3059" w:rsidRPr="006D2A1C" w:rsidRDefault="004C3059" w:rsidP="004C3059">
      <w:pPr>
        <w:pStyle w:val="Heading3"/>
      </w:pPr>
      <w:bookmarkStart w:id="154" w:name="_Toc347116321"/>
      <w:bookmarkStart w:id="155" w:name="_Toc432681256"/>
      <w:bookmarkStart w:id="156" w:name="_Toc441582923"/>
      <w:bookmarkStart w:id="157" w:name="_Toc347116322"/>
      <w:bookmarkStart w:id="158" w:name="_Toc441582924"/>
      <w:bookmarkStart w:id="159" w:name="_Toc432681257"/>
      <w:bookmarkStart w:id="160" w:name="_Toc345318866"/>
      <w:bookmarkStart w:id="161" w:name="_Toc432681259"/>
      <w:r w:rsidRPr="006D2A1C">
        <w:t>Proposed Case</w:t>
      </w:r>
      <w:bookmarkEnd w:id="154"/>
      <w:bookmarkEnd w:id="155"/>
      <w:bookmarkEnd w:id="156"/>
    </w:p>
    <w:p w14:paraId="306600FC" w14:textId="3825A21D" w:rsidR="004C3059" w:rsidRPr="006D2A1C" w:rsidRDefault="004C3059" w:rsidP="004C3059">
      <w:pPr>
        <w:rPr>
          <w:rFonts w:eastAsia="Arial" w:cs="Times New Roman"/>
          <w:color w:val="4D4D4D"/>
        </w:rPr>
      </w:pPr>
      <w:r w:rsidRPr="006D2A1C">
        <w:rPr>
          <w:rFonts w:eastAsia="Arial" w:cs="Times New Roman"/>
          <w:color w:val="4D4D4D"/>
        </w:rPr>
        <w:t xml:space="preserve">The energy efficiency programs in the Company’s Proposed Case for the 2019 IRP achieve an average of </w:t>
      </w:r>
      <w:r w:rsidR="00893F11">
        <w:rPr>
          <w:rFonts w:eastAsia="Arial" w:cs="Times New Roman"/>
          <w:color w:val="4D4D4D"/>
        </w:rPr>
        <w:t>approximately</w:t>
      </w:r>
      <w:r w:rsidRPr="006D2A1C">
        <w:rPr>
          <w:rFonts w:eastAsia="Arial" w:cs="Times New Roman"/>
          <w:color w:val="4D4D4D"/>
        </w:rPr>
        <w:t xml:space="preserve"> $</w:t>
      </w:r>
      <w:r w:rsidR="00893F11" w:rsidRPr="00893F11">
        <w:rPr>
          <w:rFonts w:eastAsia="Arial" w:cs="Times New Roman"/>
          <w:color w:val="4D4D4D"/>
        </w:rPr>
        <w:t>118</w:t>
      </w:r>
      <w:r w:rsidRPr="006D2A1C">
        <w:rPr>
          <w:rFonts w:eastAsia="Arial" w:cs="Times New Roman"/>
          <w:color w:val="4D4D4D"/>
        </w:rPr>
        <w:t xml:space="preserve"> million in TRC benefits while putting upward pressure on rates of </w:t>
      </w:r>
      <w:r w:rsidR="00893F11">
        <w:rPr>
          <w:rFonts w:eastAsia="Arial" w:cs="Times New Roman"/>
          <w:color w:val="4D4D4D"/>
        </w:rPr>
        <w:t xml:space="preserve">approximately </w:t>
      </w:r>
      <w:r w:rsidRPr="006D2A1C">
        <w:rPr>
          <w:rFonts w:eastAsia="Arial" w:cs="Times New Roman"/>
          <w:color w:val="4D4D4D"/>
        </w:rPr>
        <w:t>$</w:t>
      </w:r>
      <w:r w:rsidR="00893F11" w:rsidRPr="00893F11">
        <w:rPr>
          <w:rFonts w:eastAsia="Arial" w:cs="Times New Roman"/>
          <w:color w:val="4D4D4D"/>
        </w:rPr>
        <w:t>238</w:t>
      </w:r>
      <w:r w:rsidRPr="006D2A1C">
        <w:rPr>
          <w:rFonts w:eastAsia="Arial" w:cs="Times New Roman"/>
          <w:color w:val="4D4D4D"/>
        </w:rPr>
        <w:t xml:space="preserve"> million annually over years 2020 – 2022. The Company is concerned that these results do not strike the balance needed when considering energy efficiency programs but </w:t>
      </w:r>
      <w:r>
        <w:rPr>
          <w:rFonts w:eastAsia="Arial" w:cs="Times New Roman"/>
          <w:color w:val="4D4D4D"/>
        </w:rPr>
        <w:t>plans to continue</w:t>
      </w:r>
      <w:r w:rsidRPr="006D2A1C">
        <w:rPr>
          <w:rFonts w:eastAsia="Arial" w:cs="Times New Roman"/>
          <w:color w:val="4D4D4D"/>
        </w:rPr>
        <w:t xml:space="preserve"> the established energy efficiency programs approved in the 2016 DSM Certification filing, modified as proposed above, to achieve approximately the same levels of energy savings that are currently being achieved. The Company </w:t>
      </w:r>
      <w:r>
        <w:rPr>
          <w:rFonts w:eastAsia="Arial" w:cs="Times New Roman"/>
          <w:color w:val="4D4D4D"/>
        </w:rPr>
        <w:t>plans</w:t>
      </w:r>
      <w:r w:rsidRPr="006D2A1C">
        <w:rPr>
          <w:rFonts w:eastAsia="Arial" w:cs="Times New Roman"/>
          <w:color w:val="4D4D4D"/>
        </w:rPr>
        <w:t xml:space="preserve"> to continue the programs at this time based on the desire to minimize market disruption, to continue meeting customers’ expectations, and to maintain positive relationships with vendors performing qualified program improvements. The Company plans to monitor program costs and economics from 2020 through 202</w:t>
      </w:r>
      <w:r>
        <w:rPr>
          <w:rFonts w:eastAsia="Arial" w:cs="Times New Roman"/>
          <w:color w:val="4D4D4D"/>
        </w:rPr>
        <w:t>1</w:t>
      </w:r>
      <w:r w:rsidRPr="006D2A1C">
        <w:rPr>
          <w:rFonts w:eastAsia="Arial" w:cs="Times New Roman"/>
          <w:color w:val="4D4D4D"/>
        </w:rPr>
        <w:t xml:space="preserve"> and will be prepared to modify programs if significant upward pressure on rates continues.</w:t>
      </w:r>
    </w:p>
    <w:p w14:paraId="5440A135" w14:textId="77777777" w:rsidR="004C3059" w:rsidRPr="006D2A1C" w:rsidRDefault="004C3059" w:rsidP="004C3059">
      <w:pPr>
        <w:rPr>
          <w:rFonts w:eastAsia="Arial" w:cs="Times New Roman"/>
          <w:color w:val="4D4D4D"/>
        </w:rPr>
      </w:pPr>
      <w:r w:rsidRPr="006D2A1C">
        <w:rPr>
          <w:rFonts w:eastAsia="Arial" w:cs="Times New Roman"/>
          <w:color w:val="4D4D4D"/>
        </w:rPr>
        <w:t>The Company’s DSM portfolio included in the 2019 IRP consists of currently certified programs as well as new programs, modified based on data gathered in the implementation phase, as well as input from the DSMWG and an independent third-party evaluation.</w:t>
      </w:r>
      <w:r>
        <w:rPr>
          <w:rFonts w:eastAsia="Arial" w:cs="Times New Roman"/>
          <w:color w:val="4D4D4D"/>
        </w:rPr>
        <w:t xml:space="preserve"> The</w:t>
      </w:r>
      <w:r w:rsidRPr="006D2A1C">
        <w:rPr>
          <w:rFonts w:eastAsia="Arial" w:cs="Times New Roman"/>
          <w:color w:val="4D4D4D"/>
        </w:rPr>
        <w:t xml:space="preserve"> Proposed Case will continue to enhance these programs as more information becomes available relative to market penetration and customer feedback through an ongoing evaluation process. The Company will keep the Commission fully informed of potential changes to programs through notification to, or approval by, Commission Staff, as required.</w:t>
      </w:r>
    </w:p>
    <w:p w14:paraId="75B06159" w14:textId="3803E688" w:rsidR="00FA3E40" w:rsidRPr="006D2A1C" w:rsidRDefault="004C3059" w:rsidP="004C3059">
      <w:pPr>
        <w:rPr>
          <w:rFonts w:eastAsia="Arial" w:cs="Times New Roman"/>
          <w:color w:val="4D4D4D"/>
        </w:rPr>
      </w:pPr>
      <w:r w:rsidRPr="006D2A1C">
        <w:rPr>
          <w:rFonts w:eastAsia="Arial" w:cs="Times New Roman"/>
          <w:color w:val="4D4D4D"/>
        </w:rPr>
        <w:t xml:space="preserve">The Company’s Proposed Case summary economics are provided in the DSM Program Documentation section of Technical Appendix Volume 2. As part of the DSM Program Planning Approach, the Company agreed to calculate the generation avoided costs for its DSM change case using its system tool. The avoided generation costs for the Company’s Proposed Case from the system tool were not significantly different than the avoided generation costs obtained from PRICEM. Also, the avoided generation costs for the </w:t>
      </w:r>
      <w:r w:rsidR="003B152C" w:rsidRPr="006D2A1C">
        <w:rPr>
          <w:rFonts w:eastAsia="Arial" w:cs="Times New Roman"/>
          <w:color w:val="4D4D4D"/>
        </w:rPr>
        <w:t xml:space="preserve">DSMWG’s </w:t>
      </w:r>
      <w:r w:rsidRPr="006D2A1C">
        <w:rPr>
          <w:rFonts w:eastAsia="Arial" w:cs="Times New Roman"/>
          <w:color w:val="4D4D4D"/>
        </w:rPr>
        <w:t>Advocacy and Aggressive sensitivity cases from the system tool were not significantly different than the avoided costs obtained from PRICEM.</w:t>
      </w:r>
    </w:p>
    <w:bookmarkEnd w:id="157"/>
    <w:bookmarkEnd w:id="158"/>
    <w:bookmarkEnd w:id="159"/>
    <w:p w14:paraId="3299493C" w14:textId="3D52F027" w:rsidR="004C3059" w:rsidRPr="006D2A1C" w:rsidRDefault="004C3059" w:rsidP="004C3059">
      <w:pPr>
        <w:pStyle w:val="Heading3"/>
      </w:pPr>
      <w:r w:rsidRPr="006D2A1C">
        <w:t xml:space="preserve">DSMWG Advocacy </w:t>
      </w:r>
      <w:r w:rsidR="006574C8">
        <w:t>Case</w:t>
      </w:r>
    </w:p>
    <w:p w14:paraId="3D9B4C3A" w14:textId="77777777" w:rsidR="004C3059" w:rsidRPr="006D2A1C" w:rsidRDefault="004C3059" w:rsidP="004C3059">
      <w:pPr>
        <w:rPr>
          <w:rFonts w:eastAsia="Arial" w:cs="Times New Roman"/>
          <w:color w:val="4D4D4D"/>
        </w:rPr>
      </w:pPr>
      <w:r w:rsidRPr="006D2A1C">
        <w:rPr>
          <w:rFonts w:eastAsia="Arial" w:cs="Times New Roman"/>
          <w:color w:val="4D4D4D"/>
        </w:rPr>
        <w:t>The DSMWG Advocacy Case was developed as a sensitivity case to the Company’s recommended DSM plan and is based on requests made by certain members of the DSMWG. The Company presents the results of this case for informational purposes.</w:t>
      </w:r>
    </w:p>
    <w:p w14:paraId="09C82736" w14:textId="6F2FDBA5" w:rsidR="004C3059" w:rsidRPr="006D2A1C" w:rsidRDefault="004C3059" w:rsidP="004C3059">
      <w:pPr>
        <w:rPr>
          <w:rFonts w:eastAsia="Arial" w:cs="Times New Roman"/>
          <w:color w:val="4D4D4D"/>
        </w:rPr>
      </w:pPr>
      <w:r w:rsidRPr="006D2A1C">
        <w:rPr>
          <w:rFonts w:eastAsia="Arial" w:cs="Times New Roman"/>
          <w:color w:val="4D4D4D"/>
        </w:rPr>
        <w:t xml:space="preserve">If the DSMWG Advocacy Case is implemented, the portfolio would put additional upward pressure on rates of approximately </w:t>
      </w:r>
      <w:r w:rsidRPr="00893F11">
        <w:rPr>
          <w:rFonts w:eastAsia="Arial" w:cs="Times New Roman"/>
          <w:color w:val="4D4D4D"/>
        </w:rPr>
        <w:t>$</w:t>
      </w:r>
      <w:r w:rsidR="00893F11" w:rsidRPr="00893F11">
        <w:rPr>
          <w:rFonts w:eastAsia="Arial" w:cs="Times New Roman"/>
          <w:color w:val="4D4D4D"/>
        </w:rPr>
        <w:t>527</w:t>
      </w:r>
      <w:r w:rsidRPr="006D2A1C">
        <w:rPr>
          <w:rFonts w:eastAsia="Arial" w:cs="Times New Roman"/>
          <w:color w:val="4D4D4D"/>
        </w:rPr>
        <w:t xml:space="preserve"> million on average annually for years 2020 – 2022. Over the 2020 – 20</w:t>
      </w:r>
      <w:r>
        <w:rPr>
          <w:rFonts w:eastAsia="Arial" w:cs="Times New Roman"/>
          <w:color w:val="4D4D4D"/>
        </w:rPr>
        <w:t>31</w:t>
      </w:r>
      <w:r w:rsidRPr="006D2A1C">
        <w:rPr>
          <w:rFonts w:eastAsia="Arial" w:cs="Times New Roman"/>
          <w:color w:val="4D4D4D"/>
        </w:rPr>
        <w:t xml:space="preserve"> program years evaluated within this sensitivity case, </w:t>
      </w:r>
      <w:r>
        <w:rPr>
          <w:rFonts w:eastAsia="Arial" w:cs="Times New Roman"/>
          <w:color w:val="4D4D4D"/>
        </w:rPr>
        <w:t xml:space="preserve">upward pressure on </w:t>
      </w:r>
      <w:r w:rsidRPr="006D2A1C">
        <w:rPr>
          <w:rFonts w:eastAsia="Arial" w:cs="Times New Roman"/>
          <w:color w:val="4D4D4D"/>
        </w:rPr>
        <w:t xml:space="preserve">rates would increase on average by about </w:t>
      </w:r>
      <w:r w:rsidRPr="00D80845">
        <w:rPr>
          <w:rFonts w:eastAsia="Arial" w:cs="Times New Roman"/>
          <w:color w:val="4D4D4D"/>
        </w:rPr>
        <w:t>$</w:t>
      </w:r>
      <w:r w:rsidR="00D80845" w:rsidRPr="00D80845">
        <w:rPr>
          <w:rFonts w:eastAsia="Arial" w:cs="Times New Roman"/>
          <w:color w:val="4D4D4D"/>
        </w:rPr>
        <w:t>708</w:t>
      </w:r>
      <w:r w:rsidRPr="006D2A1C">
        <w:rPr>
          <w:rFonts w:eastAsia="Arial" w:cs="Times New Roman"/>
          <w:color w:val="4D4D4D"/>
        </w:rPr>
        <w:t xml:space="preserve"> million annually (NPV over the life of the measures). The Advocacy Case includes a ramp up of the Company’s Proposed Case, as well as additional programs proposed by certain members of the DSMWG, which included program assumptions that the Company does not agree with. Therefore, the Company does not recommend approval of the DSMWG Advocacy Case.</w:t>
      </w:r>
    </w:p>
    <w:p w14:paraId="397D1BBD" w14:textId="249BF352" w:rsidR="009C3295" w:rsidRPr="006D2A1C" w:rsidRDefault="004C3059" w:rsidP="004C3059">
      <w:pPr>
        <w:rPr>
          <w:rFonts w:eastAsia="Arial" w:cs="Times New Roman"/>
          <w:color w:val="4D4D4D"/>
        </w:rPr>
      </w:pPr>
      <w:r w:rsidRPr="006D2A1C">
        <w:rPr>
          <w:rFonts w:eastAsia="Arial" w:cs="Times New Roman"/>
          <w:color w:val="4D4D4D"/>
        </w:rPr>
        <w:t xml:space="preserve">The DSMWG Advocacy Case summary </w:t>
      </w:r>
      <w:r w:rsidR="003B152C">
        <w:rPr>
          <w:rFonts w:eastAsia="Arial" w:cs="Times New Roman"/>
          <w:color w:val="4D4D4D"/>
        </w:rPr>
        <w:t>tables</w:t>
      </w:r>
      <w:r w:rsidRPr="006D2A1C">
        <w:rPr>
          <w:rFonts w:eastAsia="Arial" w:cs="Times New Roman"/>
          <w:color w:val="4D4D4D"/>
        </w:rPr>
        <w:t xml:space="preserve"> are provided in the DSM Program Documentation section of Technical Appendix Volume 2.</w:t>
      </w:r>
    </w:p>
    <w:p w14:paraId="0F9E016C" w14:textId="77777777" w:rsidR="009C3295" w:rsidRPr="006D2A1C" w:rsidRDefault="009C3295" w:rsidP="00817EA7">
      <w:pPr>
        <w:pStyle w:val="Heading3"/>
      </w:pPr>
      <w:bookmarkStart w:id="162" w:name="_Toc347116323"/>
      <w:bookmarkStart w:id="163" w:name="_Toc432681258"/>
      <w:bookmarkStart w:id="164" w:name="_Toc441582925"/>
      <w:r w:rsidRPr="006D2A1C">
        <w:t>Aggressive Case</w:t>
      </w:r>
      <w:bookmarkEnd w:id="162"/>
      <w:bookmarkEnd w:id="163"/>
      <w:bookmarkEnd w:id="164"/>
    </w:p>
    <w:p w14:paraId="0F5F057E" w14:textId="730F7FA5" w:rsidR="004C3059" w:rsidRPr="006D2A1C" w:rsidRDefault="004C3059" w:rsidP="004C3059">
      <w:pPr>
        <w:rPr>
          <w:rFonts w:eastAsia="Arial" w:cs="Times New Roman"/>
          <w:color w:val="4D4D4D"/>
        </w:rPr>
      </w:pPr>
      <w:r w:rsidRPr="006D2A1C">
        <w:rPr>
          <w:rFonts w:eastAsia="Arial" w:cs="Times New Roman"/>
          <w:color w:val="4D4D4D"/>
        </w:rPr>
        <w:t xml:space="preserve">The Aggressive Case was developed to represent an aggressive DSM sensitivity and was developed as outlined in the DSM Program Planning Approach. It serves as a reference point to estimate the maximum achievable potential for increased energy efficiency and the impacts of such aggressive adoption of DSM. This increased energy efficiency comes at a high cost to customers. The impacts from the Aggressive Case ultimately result in average annual </w:t>
      </w:r>
      <w:r>
        <w:rPr>
          <w:rFonts w:eastAsia="Arial" w:cs="Times New Roman"/>
          <w:color w:val="4D4D4D"/>
        </w:rPr>
        <w:t xml:space="preserve">upward pressure on rates of </w:t>
      </w:r>
      <w:r w:rsidR="00D80845">
        <w:rPr>
          <w:rFonts w:eastAsia="Arial" w:cs="Times New Roman"/>
          <w:color w:val="4D4D4D"/>
        </w:rPr>
        <w:t xml:space="preserve">approximately </w:t>
      </w:r>
      <w:r w:rsidRPr="006D2A1C">
        <w:rPr>
          <w:rFonts w:eastAsia="Arial" w:cs="Times New Roman"/>
          <w:color w:val="4D4D4D"/>
        </w:rPr>
        <w:t>$</w:t>
      </w:r>
      <w:r w:rsidR="00D80845" w:rsidRPr="00D80845">
        <w:rPr>
          <w:rFonts w:eastAsia="Arial" w:cs="Times New Roman"/>
          <w:color w:val="4D4D4D"/>
        </w:rPr>
        <w:t>506</w:t>
      </w:r>
      <w:r w:rsidRPr="006D2A1C">
        <w:rPr>
          <w:rFonts w:eastAsia="Arial" w:cs="Times New Roman"/>
          <w:color w:val="4D4D4D"/>
        </w:rPr>
        <w:t xml:space="preserve"> million for years 2020 – 2022. Over the 2020 – 20</w:t>
      </w:r>
      <w:r>
        <w:rPr>
          <w:rFonts w:eastAsia="Arial" w:cs="Times New Roman"/>
          <w:color w:val="4D4D4D"/>
        </w:rPr>
        <w:t>31</w:t>
      </w:r>
      <w:r w:rsidRPr="006D2A1C">
        <w:rPr>
          <w:rFonts w:eastAsia="Arial" w:cs="Times New Roman"/>
          <w:color w:val="4D4D4D"/>
        </w:rPr>
        <w:t xml:space="preserve"> program years evaluated within this sensitivity case, </w:t>
      </w:r>
      <w:r>
        <w:rPr>
          <w:rFonts w:eastAsia="Arial" w:cs="Times New Roman"/>
          <w:color w:val="4D4D4D"/>
        </w:rPr>
        <w:t xml:space="preserve">upward pressure on </w:t>
      </w:r>
      <w:r w:rsidRPr="006D2A1C">
        <w:rPr>
          <w:rFonts w:eastAsia="Arial" w:cs="Times New Roman"/>
          <w:color w:val="4D4D4D"/>
        </w:rPr>
        <w:t>rates would increase on average by almost $</w:t>
      </w:r>
      <w:r w:rsidR="00D80845" w:rsidRPr="00D80845">
        <w:rPr>
          <w:rFonts w:eastAsia="Arial" w:cs="Times New Roman"/>
          <w:color w:val="4D4D4D"/>
        </w:rPr>
        <w:t>563</w:t>
      </w:r>
      <w:r w:rsidRPr="006D2A1C">
        <w:rPr>
          <w:rFonts w:eastAsia="Arial" w:cs="Times New Roman"/>
          <w:color w:val="4D4D4D"/>
        </w:rPr>
        <w:t xml:space="preserve"> million annually (NPV over the life of the measures). The Company does not recommend approval of the Aggressive Case.</w:t>
      </w:r>
    </w:p>
    <w:p w14:paraId="67C731BC" w14:textId="53F0F872" w:rsidR="009C3295" w:rsidRPr="006D2A1C" w:rsidRDefault="004C3059" w:rsidP="004C3059">
      <w:pPr>
        <w:rPr>
          <w:rFonts w:eastAsia="Arial" w:cs="Times New Roman"/>
          <w:color w:val="4D4D4D"/>
        </w:rPr>
      </w:pPr>
      <w:r w:rsidRPr="006D2A1C">
        <w:rPr>
          <w:rFonts w:eastAsia="Arial" w:cs="Times New Roman"/>
          <w:color w:val="4D4D4D"/>
        </w:rPr>
        <w:t xml:space="preserve">The Aggressive Case summary </w:t>
      </w:r>
      <w:r w:rsidR="003B152C">
        <w:rPr>
          <w:rFonts w:eastAsia="Arial" w:cs="Times New Roman"/>
          <w:color w:val="4D4D4D"/>
        </w:rPr>
        <w:t>tables</w:t>
      </w:r>
      <w:r w:rsidRPr="006D2A1C">
        <w:rPr>
          <w:rFonts w:eastAsia="Arial" w:cs="Times New Roman"/>
          <w:color w:val="4D4D4D"/>
        </w:rPr>
        <w:t xml:space="preserve"> are provided in the DSM Program Documentation section of Technical Appendix Volume 2.</w:t>
      </w:r>
    </w:p>
    <w:p w14:paraId="6D1A87A7" w14:textId="5443B9B7" w:rsidR="00024A73" w:rsidRPr="00AE1072" w:rsidRDefault="00B97523" w:rsidP="00817EA7">
      <w:pPr>
        <w:pStyle w:val="Heading2"/>
        <w:rPr>
          <w:rFonts w:eastAsia="Times New Roman"/>
        </w:rPr>
      </w:pPr>
      <w:bookmarkStart w:id="165" w:name="_Toc536209144"/>
      <w:bookmarkStart w:id="166" w:name="_Toc441578872"/>
      <w:bookmarkEnd w:id="160"/>
      <w:bookmarkEnd w:id="161"/>
      <w:r>
        <w:rPr>
          <w:rFonts w:eastAsia="Times New Roman"/>
        </w:rPr>
        <w:t>Recommended DSM Action Plan</w:t>
      </w:r>
      <w:bookmarkEnd w:id="165"/>
    </w:p>
    <w:bookmarkEnd w:id="166"/>
    <w:p w14:paraId="63318D53" w14:textId="77777777" w:rsidR="004C3059" w:rsidRPr="006D2A1C" w:rsidRDefault="004C3059" w:rsidP="004C3059">
      <w:pPr>
        <w:rPr>
          <w:rFonts w:eastAsia="Arial" w:cs="Times New Roman"/>
          <w:color w:val="4D4D4D"/>
        </w:rPr>
      </w:pPr>
      <w:r w:rsidRPr="006D2A1C">
        <w:rPr>
          <w:rFonts w:eastAsia="Arial" w:cs="Times New Roman"/>
          <w:color w:val="4D4D4D"/>
        </w:rPr>
        <w:t>In summary, the Company’s recommended DSM action plan includes the following</w:t>
      </w:r>
      <w:r>
        <w:rPr>
          <w:rFonts w:eastAsia="Arial" w:cs="Times New Roman"/>
          <w:color w:val="4D4D4D"/>
        </w:rPr>
        <w:t xml:space="preserve"> items detailed in Section 7.2</w:t>
      </w:r>
      <w:r w:rsidRPr="006D2A1C">
        <w:rPr>
          <w:rFonts w:eastAsia="Arial" w:cs="Times New Roman"/>
          <w:color w:val="4D4D4D"/>
        </w:rPr>
        <w:t>:</w:t>
      </w:r>
    </w:p>
    <w:p w14:paraId="7F07A3BB" w14:textId="68EF088C" w:rsidR="004C3059" w:rsidRPr="006D2A1C" w:rsidRDefault="004C3059" w:rsidP="00DD00CB">
      <w:pPr>
        <w:numPr>
          <w:ilvl w:val="0"/>
          <w:numId w:val="25"/>
        </w:numPr>
        <w:contextualSpacing/>
        <w:rPr>
          <w:rFonts w:eastAsia="Arial" w:cs="Times New Roman"/>
          <w:color w:val="4D4D4D"/>
        </w:rPr>
      </w:pPr>
      <w:r w:rsidRPr="006D2A1C">
        <w:rPr>
          <w:rFonts w:eastAsia="Arial" w:cs="Times New Roman"/>
          <w:color w:val="4D4D4D"/>
        </w:rPr>
        <w:t xml:space="preserve">Implementation of the </w:t>
      </w:r>
      <w:r>
        <w:rPr>
          <w:rFonts w:eastAsia="Arial" w:cs="Times New Roman"/>
          <w:color w:val="4D4D4D"/>
        </w:rPr>
        <w:t>six</w:t>
      </w:r>
      <w:r w:rsidRPr="006D2A1C">
        <w:rPr>
          <w:rFonts w:eastAsia="Arial" w:cs="Times New Roman"/>
          <w:color w:val="4D4D4D"/>
        </w:rPr>
        <w:t xml:space="preserve"> residential </w:t>
      </w:r>
      <w:r>
        <w:rPr>
          <w:rFonts w:eastAsia="Arial" w:cs="Times New Roman"/>
          <w:color w:val="4D4D4D"/>
        </w:rPr>
        <w:t xml:space="preserve">and five commercial </w:t>
      </w:r>
      <w:r w:rsidR="00A23ADE">
        <w:rPr>
          <w:rFonts w:eastAsia="Arial" w:cs="Times New Roman"/>
          <w:color w:val="4D4D4D"/>
        </w:rPr>
        <w:t xml:space="preserve">DSM </w:t>
      </w:r>
      <w:r>
        <w:rPr>
          <w:rFonts w:eastAsia="Arial" w:cs="Times New Roman"/>
          <w:color w:val="4D4D4D"/>
        </w:rPr>
        <w:t>programs</w:t>
      </w:r>
      <w:r w:rsidRPr="006D2A1C">
        <w:rPr>
          <w:rFonts w:eastAsia="Arial" w:cs="Times New Roman"/>
          <w:color w:val="4D4D4D"/>
        </w:rPr>
        <w:t xml:space="preserve">; </w:t>
      </w:r>
    </w:p>
    <w:p w14:paraId="6321436E" w14:textId="77777777" w:rsidR="004C3059" w:rsidRPr="006D2A1C" w:rsidRDefault="004C3059" w:rsidP="00DD00CB">
      <w:pPr>
        <w:numPr>
          <w:ilvl w:val="0"/>
          <w:numId w:val="25"/>
        </w:numPr>
        <w:contextualSpacing/>
        <w:rPr>
          <w:rFonts w:eastAsia="Arial" w:cs="Times New Roman"/>
          <w:color w:val="4D4D4D"/>
        </w:rPr>
      </w:pPr>
      <w:r w:rsidRPr="006D2A1C">
        <w:rPr>
          <w:rFonts w:eastAsia="Arial" w:cs="Times New Roman"/>
          <w:color w:val="4D4D4D"/>
        </w:rPr>
        <w:t xml:space="preserve">Continuation of the </w:t>
      </w:r>
      <w:r>
        <w:rPr>
          <w:rFonts w:eastAsia="Arial" w:cs="Times New Roman"/>
          <w:color w:val="4D4D4D"/>
        </w:rPr>
        <w:t xml:space="preserve">residential </w:t>
      </w:r>
      <w:r w:rsidRPr="006D2A1C">
        <w:rPr>
          <w:rFonts w:eastAsia="Arial" w:cs="Times New Roman"/>
          <w:color w:val="4D4D4D"/>
        </w:rPr>
        <w:t>Power Credit program</w:t>
      </w:r>
      <w:r>
        <w:rPr>
          <w:rFonts w:eastAsia="Arial" w:cs="Times New Roman"/>
          <w:color w:val="4D4D4D"/>
        </w:rPr>
        <w:t>;</w:t>
      </w:r>
    </w:p>
    <w:p w14:paraId="0E24AE9A" w14:textId="6864EF21" w:rsidR="004C3059" w:rsidRPr="006D2A1C" w:rsidRDefault="004C3059" w:rsidP="00DD00CB">
      <w:pPr>
        <w:numPr>
          <w:ilvl w:val="0"/>
          <w:numId w:val="25"/>
        </w:numPr>
        <w:contextualSpacing/>
        <w:rPr>
          <w:rFonts w:eastAsia="Arial" w:cs="Times New Roman"/>
          <w:color w:val="4D4D4D"/>
        </w:rPr>
      </w:pPr>
      <w:r w:rsidRPr="006D2A1C">
        <w:rPr>
          <w:rFonts w:eastAsia="Arial" w:cs="Times New Roman"/>
          <w:color w:val="4D4D4D"/>
        </w:rPr>
        <w:t xml:space="preserve">Continuation of </w:t>
      </w:r>
      <w:r>
        <w:rPr>
          <w:rFonts w:eastAsia="Arial" w:cs="Times New Roman"/>
          <w:color w:val="4D4D4D"/>
        </w:rPr>
        <w:t>the Education and Energy Efficiency Awareness initiatives;</w:t>
      </w:r>
    </w:p>
    <w:p w14:paraId="36BDFA1F" w14:textId="77777777" w:rsidR="00A23ADE" w:rsidRDefault="004C3059" w:rsidP="00DD00CB">
      <w:pPr>
        <w:numPr>
          <w:ilvl w:val="0"/>
          <w:numId w:val="25"/>
        </w:numPr>
        <w:contextualSpacing/>
        <w:rPr>
          <w:rFonts w:eastAsia="Arial" w:cs="Times New Roman"/>
          <w:color w:val="4D4D4D"/>
        </w:rPr>
      </w:pPr>
      <w:r>
        <w:rPr>
          <w:rFonts w:eastAsia="Arial" w:cs="Times New Roman"/>
          <w:color w:val="4D4D4D"/>
        </w:rPr>
        <w:t xml:space="preserve">Continuation </w:t>
      </w:r>
      <w:r w:rsidR="00A23ADE">
        <w:rPr>
          <w:rFonts w:eastAsia="Arial" w:cs="Times New Roman"/>
          <w:color w:val="4D4D4D"/>
        </w:rPr>
        <w:t xml:space="preserve">of pilot studies and approval of annual </w:t>
      </w:r>
      <w:r w:rsidRPr="006D2A1C">
        <w:rPr>
          <w:rFonts w:eastAsia="Arial" w:cs="Times New Roman"/>
          <w:color w:val="4D4D4D"/>
        </w:rPr>
        <w:t xml:space="preserve">pilot </w:t>
      </w:r>
      <w:r w:rsidR="00A23ADE">
        <w:rPr>
          <w:rFonts w:eastAsia="Arial" w:cs="Times New Roman"/>
          <w:color w:val="4D4D4D"/>
        </w:rPr>
        <w:t xml:space="preserve">budget; </w:t>
      </w:r>
      <w:r>
        <w:rPr>
          <w:rFonts w:eastAsia="Arial" w:cs="Times New Roman"/>
          <w:color w:val="4D4D4D"/>
        </w:rPr>
        <w:t>and</w:t>
      </w:r>
    </w:p>
    <w:p w14:paraId="22298A52" w14:textId="2B2208D5" w:rsidR="009C3295" w:rsidRPr="006D2A1C" w:rsidRDefault="00A23ADE" w:rsidP="00DD00CB">
      <w:pPr>
        <w:numPr>
          <w:ilvl w:val="0"/>
          <w:numId w:val="25"/>
        </w:numPr>
        <w:contextualSpacing/>
        <w:rPr>
          <w:rFonts w:eastAsia="Arial" w:cs="Times New Roman"/>
          <w:color w:val="4D4D4D"/>
        </w:rPr>
      </w:pPr>
      <w:r>
        <w:rPr>
          <w:rFonts w:eastAsia="Arial" w:cs="Times New Roman"/>
          <w:color w:val="4D4D4D"/>
        </w:rPr>
        <w:t>A</w:t>
      </w:r>
      <w:r w:rsidR="004C3059">
        <w:rPr>
          <w:rFonts w:eastAsia="Arial" w:cs="Times New Roman"/>
          <w:color w:val="4D4D4D"/>
        </w:rPr>
        <w:t>pproval of the Income-Qualified (Tariff</w:t>
      </w:r>
      <w:r w:rsidR="008E13DF">
        <w:rPr>
          <w:rFonts w:eastAsia="Arial" w:cs="Times New Roman"/>
          <w:color w:val="4D4D4D"/>
        </w:rPr>
        <w:t>-</w:t>
      </w:r>
      <w:r w:rsidR="004C3059">
        <w:rPr>
          <w:rFonts w:eastAsia="Arial" w:cs="Times New Roman"/>
          <w:color w:val="4D4D4D"/>
        </w:rPr>
        <w:t>Based Financing) pilot</w:t>
      </w:r>
      <w:r w:rsidR="00754D9E">
        <w:rPr>
          <w:rFonts w:eastAsia="Arial" w:cs="Times New Roman"/>
          <w:color w:val="4D4D4D"/>
        </w:rPr>
        <w:t xml:space="preserve"> and budget</w:t>
      </w:r>
      <w:r w:rsidR="00B825F6">
        <w:rPr>
          <w:rFonts w:eastAsia="Arial" w:cs="Times New Roman"/>
          <w:color w:val="4D4D4D"/>
        </w:rPr>
        <w:t>.</w:t>
      </w:r>
    </w:p>
    <w:p w14:paraId="41F47FEB" w14:textId="33AA9913" w:rsidR="001043BA" w:rsidRDefault="001043BA">
      <w:pPr>
        <w:spacing w:after="160" w:line="259" w:lineRule="auto"/>
        <w:jc w:val="left"/>
      </w:pPr>
      <w:r>
        <w:br w:type="page"/>
      </w:r>
    </w:p>
    <w:p w14:paraId="164FE262" w14:textId="13292811" w:rsidR="00DE621A" w:rsidRDefault="0087005E" w:rsidP="00DE621A">
      <w:pPr>
        <w:pStyle w:val="Heading1"/>
      </w:pPr>
      <w:bookmarkStart w:id="167" w:name="_Ref530149203"/>
      <w:bookmarkStart w:id="168" w:name="_Toc536209145"/>
      <w:bookmarkStart w:id="169" w:name="_Hlk531702578"/>
      <w:r>
        <w:t>REN</w:t>
      </w:r>
      <w:r w:rsidR="000F6E19">
        <w:t>E</w:t>
      </w:r>
      <w:r>
        <w:t>WABLE RESOURCES</w:t>
      </w:r>
      <w:bookmarkStart w:id="170" w:name="_Toc347116355"/>
      <w:bookmarkEnd w:id="167"/>
      <w:bookmarkEnd w:id="168"/>
    </w:p>
    <w:p w14:paraId="6291693A" w14:textId="38245314" w:rsidR="00177635" w:rsidRPr="00725095" w:rsidRDefault="000D08BC" w:rsidP="003D03F0">
      <w:r w:rsidRPr="00725095">
        <w:t>As part of Georgia Power’s overall strategy to deliver clean, safe, reliable</w:t>
      </w:r>
      <w:r w:rsidR="000F25D9">
        <w:t>, and affordable</w:t>
      </w:r>
      <w:r w:rsidRPr="00725095">
        <w:t xml:space="preserve"> energy from a diverse fleet of generation resources, the Company </w:t>
      </w:r>
      <w:r>
        <w:t xml:space="preserve">continues to collaborate </w:t>
      </w:r>
      <w:r w:rsidRPr="00725095">
        <w:t xml:space="preserve">with the Commission and renewable stakeholders to develop a nationally recognized portfolio of renewable projects and programs, including solar, wind, and biomass resources. Georgia Power’s </w:t>
      </w:r>
      <w:r>
        <w:t xml:space="preserve">steady and </w:t>
      </w:r>
      <w:r w:rsidRPr="00725095">
        <w:t xml:space="preserve">measured approach to </w:t>
      </w:r>
      <w:r>
        <w:t>grow</w:t>
      </w:r>
      <w:r w:rsidRPr="00725095">
        <w:t xml:space="preserve"> renewable </w:t>
      </w:r>
      <w:r w:rsidR="00711541">
        <w:t>resources</w:t>
      </w:r>
      <w:r w:rsidR="00711541" w:rsidRPr="00725095">
        <w:t xml:space="preserve"> </w:t>
      </w:r>
      <w:r w:rsidRPr="00725095">
        <w:t>include</w:t>
      </w:r>
      <w:r>
        <w:t>s the</w:t>
      </w:r>
      <w:r w:rsidRPr="00725095">
        <w:t xml:space="preserve"> procurement of renewable </w:t>
      </w:r>
      <w:r w:rsidR="00711541">
        <w:t>resources</w:t>
      </w:r>
      <w:r w:rsidR="00711541" w:rsidRPr="00725095">
        <w:t xml:space="preserve"> </w:t>
      </w:r>
      <w:r w:rsidRPr="00725095">
        <w:t xml:space="preserve">from both small and large-scale generators, the development of </w:t>
      </w:r>
      <w:r>
        <w:t>C</w:t>
      </w:r>
      <w:r w:rsidRPr="00725095">
        <w:t>ompany-owned solar generation facilities,</w:t>
      </w:r>
      <w:r>
        <w:t xml:space="preserve"> </w:t>
      </w:r>
      <w:r w:rsidRPr="00725095">
        <w:t xml:space="preserve">and implementation of customer-focused renewable </w:t>
      </w:r>
      <w:r>
        <w:t xml:space="preserve">energy </w:t>
      </w:r>
      <w:r w:rsidRPr="00725095">
        <w:t>programs</w:t>
      </w:r>
      <w:r>
        <w:t xml:space="preserve">, all designed to meet customer </w:t>
      </w:r>
      <w:r w:rsidR="00E63B5F">
        <w:t xml:space="preserve">renewable energy </w:t>
      </w:r>
      <w:r>
        <w:t>needs and create projected long-</w:t>
      </w:r>
      <w:r w:rsidR="00DB34FC">
        <w:t>term savings</w:t>
      </w:r>
      <w:r w:rsidRPr="00725095">
        <w:t xml:space="preserve">. </w:t>
      </w:r>
      <w:r w:rsidR="00711541" w:rsidRPr="00725095">
        <w:t xml:space="preserve">As a result of these efforts, </w:t>
      </w:r>
      <w:r w:rsidR="00711541">
        <w:t>energy is</w:t>
      </w:r>
      <w:r w:rsidR="00F844A6">
        <w:t xml:space="preserve"> now</w:t>
      </w:r>
      <w:r w:rsidR="00711541">
        <w:t xml:space="preserve"> being delivered to Georgia Power customers </w:t>
      </w:r>
      <w:r>
        <w:t>from more</w:t>
      </w:r>
      <w:r w:rsidRPr="00725095">
        <w:t xml:space="preserve"> than 1.</w:t>
      </w:r>
      <w:r>
        <w:t>6</w:t>
      </w:r>
      <w:r w:rsidRPr="00725095">
        <w:t xml:space="preserve"> GW of renewable resources,</w:t>
      </w:r>
      <w:r>
        <w:t xml:space="preserve"> with </w:t>
      </w:r>
      <w:r w:rsidRPr="00725095">
        <w:t xml:space="preserve">more than </w:t>
      </w:r>
      <w:r>
        <w:t>1.5</w:t>
      </w:r>
      <w:r w:rsidRPr="00725095">
        <w:t xml:space="preserve"> GW of additional renewables</w:t>
      </w:r>
      <w:r w:rsidR="00711541">
        <w:t xml:space="preserve"> projects</w:t>
      </w:r>
      <w:r w:rsidRPr="00725095">
        <w:t xml:space="preserve"> under contract or development</w:t>
      </w:r>
      <w:r>
        <w:t xml:space="preserve"> and</w:t>
      </w:r>
      <w:r w:rsidRPr="00725095">
        <w:t xml:space="preserve"> </w:t>
      </w:r>
      <w:r w:rsidR="00711541">
        <w:t>anticipated</w:t>
      </w:r>
      <w:r w:rsidR="00711541" w:rsidRPr="00725095">
        <w:t xml:space="preserve"> </w:t>
      </w:r>
      <w:r w:rsidRPr="00725095">
        <w:t>to be online by the end of 2021</w:t>
      </w:r>
      <w:r w:rsidR="00177635" w:rsidRPr="00725095">
        <w:t>.</w:t>
      </w:r>
      <w:r w:rsidR="0032100F">
        <w:rPr>
          <w:rStyle w:val="FootnoteReference"/>
        </w:rPr>
        <w:footnoteReference w:id="3"/>
      </w:r>
      <w:r w:rsidR="00177635" w:rsidRPr="00725095">
        <w:t xml:space="preserve"> </w:t>
      </w:r>
    </w:p>
    <w:bookmarkEnd w:id="169"/>
    <w:p w14:paraId="7F7EB933" w14:textId="4F8F1709" w:rsidR="00177635" w:rsidRPr="00725095" w:rsidRDefault="000D08BC" w:rsidP="003D03F0">
      <w:r w:rsidRPr="00725095">
        <w:t xml:space="preserve">Since the 2016 IRP, </w:t>
      </w:r>
      <w:r>
        <w:t xml:space="preserve">the state of Georgia and Georgia Power </w:t>
      </w:r>
      <w:r w:rsidRPr="00725095">
        <w:t>Company ha</w:t>
      </w:r>
      <w:r>
        <w:t>ve</w:t>
      </w:r>
      <w:r w:rsidRPr="00725095">
        <w:t xml:space="preserve"> been recognized by both the Smart Electric Power A</w:t>
      </w:r>
      <w:r w:rsidR="004F63AD">
        <w:t>lliance</w:t>
      </w:r>
      <w:r w:rsidR="004F63AD" w:rsidRPr="00725095">
        <w:t xml:space="preserve"> </w:t>
      </w:r>
      <w:r w:rsidR="00E54082">
        <w:t xml:space="preserve">(“SEPA”) </w:t>
      </w:r>
      <w:r w:rsidRPr="00725095">
        <w:t>and the Solar Energy Industries Associatio</w:t>
      </w:r>
      <w:r w:rsidR="00F844A6">
        <w:t xml:space="preserve">n </w:t>
      </w:r>
      <w:r w:rsidR="00E54082">
        <w:t xml:space="preserve">(“SEIA”) </w:t>
      </w:r>
      <w:r w:rsidR="00F844A6">
        <w:t xml:space="preserve">as a top producer </w:t>
      </w:r>
      <w:r w:rsidRPr="00725095">
        <w:t xml:space="preserve">of solar in the country. Most recently, SEPA awarded the Company with the 2017 “Top 10 Utilities </w:t>
      </w:r>
      <w:r>
        <w:t>by</w:t>
      </w:r>
      <w:r w:rsidRPr="00725095">
        <w:t xml:space="preserve"> Cumulative Solar Capacity</w:t>
      </w:r>
      <w:r w:rsidR="00A63A7F">
        <w:t>,</w:t>
      </w:r>
      <w:r w:rsidRPr="00725095">
        <w:t>” a</w:t>
      </w:r>
      <w:r>
        <w:t>n</w:t>
      </w:r>
      <w:r w:rsidRPr="00725095">
        <w:t xml:space="preserve">d SEIA ranked Georgia 10th in cumulative solar capacity. </w:t>
      </w:r>
      <w:r>
        <w:t>Through the leadership of the</w:t>
      </w:r>
      <w:r w:rsidRPr="00725095">
        <w:t xml:space="preserve"> Commission and </w:t>
      </w:r>
      <w:r>
        <w:t xml:space="preserve">collaboration with </w:t>
      </w:r>
      <w:r w:rsidRPr="00725095">
        <w:t>the renewable energy community</w:t>
      </w:r>
      <w:r>
        <w:t xml:space="preserve">, </w:t>
      </w:r>
      <w:r w:rsidR="00111B7E">
        <w:t xml:space="preserve">Georgia </w:t>
      </w:r>
      <w:r w:rsidR="00111B7E" w:rsidRPr="00725095">
        <w:t>has</w:t>
      </w:r>
      <w:r w:rsidRPr="00725095">
        <w:t xml:space="preserve"> set a </w:t>
      </w:r>
      <w:r>
        <w:t xml:space="preserve">national </w:t>
      </w:r>
      <w:r w:rsidRPr="00725095">
        <w:t xml:space="preserve">standard for </w:t>
      </w:r>
      <w:r>
        <w:t>responsible</w:t>
      </w:r>
      <w:r w:rsidRPr="00725095">
        <w:t xml:space="preserve"> renewable energy growth </w:t>
      </w:r>
      <w:r>
        <w:t>and</w:t>
      </w:r>
      <w:r w:rsidRPr="00725095">
        <w:t xml:space="preserve"> prov</w:t>
      </w:r>
      <w:r>
        <w:t>en</w:t>
      </w:r>
      <w:r w:rsidRPr="00725095">
        <w:t xml:space="preserve"> that </w:t>
      </w:r>
      <w:r>
        <w:t>such</w:t>
      </w:r>
      <w:r w:rsidRPr="00725095">
        <w:t xml:space="preserve"> growth in renewable energy can be achieved without a mandate or </w:t>
      </w:r>
      <w:r w:rsidR="00CA612C">
        <w:t>RPS</w:t>
      </w:r>
      <w:r>
        <w:t xml:space="preserve">. This </w:t>
      </w:r>
      <w:r w:rsidR="00711541">
        <w:t xml:space="preserve">approach </w:t>
      </w:r>
      <w:r>
        <w:t xml:space="preserve">has been developed working closely with the Commission and </w:t>
      </w:r>
      <w:r w:rsidR="00111B7E">
        <w:t xml:space="preserve">Commission </w:t>
      </w:r>
      <w:r>
        <w:t>Staff to deliver cost</w:t>
      </w:r>
      <w:r w:rsidR="008821ED">
        <w:t>-</w:t>
      </w:r>
      <w:r>
        <w:t xml:space="preserve">effective and customer focused renewable </w:t>
      </w:r>
      <w:r w:rsidR="00111B7E">
        <w:t xml:space="preserve">energy, </w:t>
      </w:r>
      <w:r w:rsidR="00111B7E" w:rsidRPr="00725095">
        <w:t>while</w:t>
      </w:r>
      <w:r w:rsidRPr="00725095">
        <w:t xml:space="preserve"> abiding </w:t>
      </w:r>
      <w:r w:rsidR="00743E06">
        <w:t xml:space="preserve">by </w:t>
      </w:r>
      <w:r w:rsidRPr="00725095">
        <w:t xml:space="preserve">the </w:t>
      </w:r>
      <w:r w:rsidR="00711541">
        <w:t>principles</w:t>
      </w:r>
      <w:r w:rsidR="00711541" w:rsidRPr="00725095">
        <w:t xml:space="preserve"> </w:t>
      </w:r>
      <w:r w:rsidRPr="00725095">
        <w:t>of customer fairness</w:t>
      </w:r>
      <w:r>
        <w:t xml:space="preserve">, applying accurate costs and benefits, </w:t>
      </w:r>
      <w:r w:rsidRPr="00725095">
        <w:t>and</w:t>
      </w:r>
      <w:r>
        <w:t xml:space="preserve"> maximizing value for customers by using</w:t>
      </w:r>
      <w:r w:rsidRPr="00725095">
        <w:t xml:space="preserve"> market driven</w:t>
      </w:r>
      <w:r>
        <w:t xml:space="preserve"> and</w:t>
      </w:r>
      <w:r w:rsidRPr="00725095">
        <w:t xml:space="preserve"> competitive procurement</w:t>
      </w:r>
      <w:r>
        <w:t xml:space="preserve"> practices</w:t>
      </w:r>
      <w:r w:rsidRPr="00725095">
        <w:t xml:space="preserve">. </w:t>
      </w:r>
      <w:r w:rsidR="00861DE8">
        <w:fldChar w:fldCharType="begin"/>
      </w:r>
      <w:r w:rsidR="00861DE8">
        <w:instrText xml:space="preserve"> REF _Ref532998373 \h </w:instrText>
      </w:r>
      <w:r w:rsidR="00861DE8">
        <w:fldChar w:fldCharType="separate"/>
      </w:r>
      <w:r w:rsidR="00F33DA2">
        <w:t xml:space="preserve">Figure </w:t>
      </w:r>
      <w:r w:rsidR="00F33DA2">
        <w:rPr>
          <w:noProof/>
        </w:rPr>
        <w:t>4</w:t>
      </w:r>
      <w:r w:rsidR="00861DE8">
        <w:fldChar w:fldCharType="end"/>
      </w:r>
      <w:r w:rsidRPr="00725095">
        <w:t xml:space="preserve"> illustrates the historical and expected cumulative</w:t>
      </w:r>
      <w:r w:rsidR="004F63AD" w:rsidRPr="00725095">
        <w:t xml:space="preserve"> </w:t>
      </w:r>
      <w:r w:rsidRPr="00725095">
        <w:t xml:space="preserve">renewable capacity for Georgia Power through 2021, by resource </w:t>
      </w:r>
      <w:r w:rsidR="00111B7E" w:rsidRPr="00725095">
        <w:t>type.</w:t>
      </w:r>
      <w:r w:rsidR="00177635" w:rsidRPr="00725095">
        <w:rPr>
          <w:vertAlign w:val="superscript"/>
        </w:rPr>
        <w:footnoteReference w:id="4"/>
      </w:r>
    </w:p>
    <w:p w14:paraId="14C05C24" w14:textId="16F70717" w:rsidR="00D13A2A" w:rsidRDefault="00812962" w:rsidP="002C556B">
      <w:pPr>
        <w:keepNext/>
      </w:pPr>
      <w:r>
        <w:rPr>
          <w:noProof/>
        </w:rPr>
        <w:drawing>
          <wp:inline distT="0" distB="0" distL="0" distR="0" wp14:anchorId="7CF14330" wp14:editId="25ADCFD9">
            <wp:extent cx="5943600" cy="3067065"/>
            <wp:effectExtent l="19050" t="19050" r="19050" b="19050"/>
            <wp:docPr id="13" name="Picture 13" descr="cid:image003.png@01D4B22E.ED17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B22E.ED17648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943600" cy="3067065"/>
                    </a:xfrm>
                    <a:prstGeom prst="rect">
                      <a:avLst/>
                    </a:prstGeom>
                    <a:noFill/>
                    <a:ln w="6350">
                      <a:solidFill>
                        <a:schemeClr val="tx2"/>
                      </a:solidFill>
                    </a:ln>
                  </pic:spPr>
                </pic:pic>
              </a:graphicData>
            </a:graphic>
          </wp:inline>
        </w:drawing>
      </w:r>
    </w:p>
    <w:p w14:paraId="44B6C654" w14:textId="22E76688" w:rsidR="00711541" w:rsidRDefault="00D13A2A" w:rsidP="00711541">
      <w:pPr>
        <w:pStyle w:val="Caption"/>
        <w:jc w:val="center"/>
      </w:pPr>
      <w:bookmarkStart w:id="171" w:name="_Ref532998373"/>
      <w:r>
        <w:t xml:space="preserve">Figure </w:t>
      </w:r>
      <w:r w:rsidR="00FA0526">
        <w:rPr>
          <w:noProof/>
        </w:rPr>
        <w:fldChar w:fldCharType="begin"/>
      </w:r>
      <w:r w:rsidR="00FA0526">
        <w:rPr>
          <w:noProof/>
        </w:rPr>
        <w:instrText xml:space="preserve"> SEQ Figure \* ARABIC </w:instrText>
      </w:r>
      <w:r w:rsidR="00FA0526">
        <w:rPr>
          <w:noProof/>
        </w:rPr>
        <w:fldChar w:fldCharType="separate"/>
      </w:r>
      <w:r w:rsidR="00F33DA2">
        <w:rPr>
          <w:noProof/>
        </w:rPr>
        <w:t>4</w:t>
      </w:r>
      <w:r w:rsidR="00FA0526">
        <w:rPr>
          <w:noProof/>
        </w:rPr>
        <w:fldChar w:fldCharType="end"/>
      </w:r>
      <w:bookmarkEnd w:id="171"/>
      <w:r w:rsidRPr="00E26725">
        <w:t xml:space="preserve">: </w:t>
      </w:r>
      <w:r w:rsidR="00711541" w:rsidRPr="00E26725">
        <w:t>Historical and expected cumulative renewable capacity for Georgia Power</w:t>
      </w:r>
    </w:p>
    <w:p w14:paraId="7AA3A8FC" w14:textId="3FCD8214" w:rsidR="0032100F" w:rsidRDefault="0032100F" w:rsidP="00D13A2A">
      <w:pPr>
        <w:pStyle w:val="Caption"/>
        <w:jc w:val="center"/>
      </w:pPr>
    </w:p>
    <w:p w14:paraId="402B154A" w14:textId="4F0328C7" w:rsidR="00711541" w:rsidRDefault="00711541" w:rsidP="00AB549D">
      <w:r w:rsidRPr="00694846">
        <w:t xml:space="preserve">While industry comparisons are an important measure of success, Georgia Power’s greatest accomplishment with respect to renewable development </w:t>
      </w:r>
      <w:r w:rsidR="004F63AD">
        <w:t xml:space="preserve">is effectively responding to </w:t>
      </w:r>
      <w:r w:rsidR="004F63AD" w:rsidRPr="00694846">
        <w:t xml:space="preserve">customer </w:t>
      </w:r>
      <w:r w:rsidR="004F63AD">
        <w:t xml:space="preserve">needs, while </w:t>
      </w:r>
      <w:r w:rsidR="004F63AD" w:rsidRPr="00694846">
        <w:t>creat</w:t>
      </w:r>
      <w:r w:rsidR="004F63AD">
        <w:t>ing</w:t>
      </w:r>
      <w:r w:rsidR="004F63AD" w:rsidRPr="00694846">
        <w:t xml:space="preserve"> projected long-term savings.</w:t>
      </w:r>
      <w:r w:rsidR="004F63AD" w:rsidRPr="00725095">
        <w:t xml:space="preserve"> Georgia Power </w:t>
      </w:r>
      <w:r w:rsidR="004F63AD">
        <w:t xml:space="preserve">has </w:t>
      </w:r>
      <w:r w:rsidR="004F63AD" w:rsidRPr="00725095">
        <w:t>maximiz</w:t>
      </w:r>
      <w:r w:rsidR="004F63AD">
        <w:t>ed</w:t>
      </w:r>
      <w:r w:rsidR="004F63AD" w:rsidRPr="00725095">
        <w:t xml:space="preserve"> the benefits to customers</w:t>
      </w:r>
      <w:r w:rsidR="004F63AD">
        <w:t xml:space="preserve"> by maintaining a disciplined approach to integrating renewable resources, which utilizes competitive procurements and application of the RCB </w:t>
      </w:r>
      <w:r w:rsidR="00A23ADE">
        <w:t>F</w:t>
      </w:r>
      <w:r w:rsidR="004F63AD">
        <w:t>ramework to</w:t>
      </w:r>
      <w:r w:rsidR="004F63AD" w:rsidRPr="00725095">
        <w:t xml:space="preserve"> procure renewable resources below projected avoided costs</w:t>
      </w:r>
      <w:r w:rsidR="004F63AD">
        <w:t xml:space="preserve">. </w:t>
      </w:r>
    </w:p>
    <w:p w14:paraId="5283EF94" w14:textId="6314A2EA" w:rsidR="00711541" w:rsidRPr="00725095" w:rsidRDefault="00711541" w:rsidP="00AB549D">
      <w:r w:rsidRPr="00725095">
        <w:t xml:space="preserve">Georgia Power continually monitors market trends and technology advances </w:t>
      </w:r>
      <w:r w:rsidR="008821ED">
        <w:t>to</w:t>
      </w:r>
      <w:r w:rsidRPr="00725095">
        <w:t xml:space="preserve"> implement innovative</w:t>
      </w:r>
      <w:r>
        <w:t xml:space="preserve"> and</w:t>
      </w:r>
      <w:r w:rsidRPr="00725095">
        <w:t xml:space="preserve"> customer</w:t>
      </w:r>
      <w:r>
        <w:t>-</w:t>
      </w:r>
      <w:r w:rsidRPr="00725095">
        <w:t xml:space="preserve">focused renewable programs. </w:t>
      </w:r>
      <w:r w:rsidR="00F844A6">
        <w:t>As an</w:t>
      </w:r>
      <w:r>
        <w:t xml:space="preserve"> example, t</w:t>
      </w:r>
      <w:r w:rsidRPr="00725095">
        <w:t xml:space="preserve">he Company has taken advantage of steadily declining solar costs by making incremental and disciplined </w:t>
      </w:r>
      <w:r>
        <w:t xml:space="preserve">procurements of </w:t>
      </w:r>
      <w:r w:rsidRPr="00725095">
        <w:t xml:space="preserve">renewable generation. </w:t>
      </w:r>
      <w:r>
        <w:t>A</w:t>
      </w:r>
      <w:r w:rsidRPr="00725095">
        <w:t xml:space="preserve">s </w:t>
      </w:r>
      <w:r>
        <w:t xml:space="preserve">the </w:t>
      </w:r>
      <w:r w:rsidRPr="00725095">
        <w:t>cost</w:t>
      </w:r>
      <w:r>
        <w:t xml:space="preserve"> of renewable generation</w:t>
      </w:r>
      <w:r w:rsidRPr="00725095">
        <w:t xml:space="preserve"> continue</w:t>
      </w:r>
      <w:r>
        <w:t>s</w:t>
      </w:r>
      <w:r w:rsidRPr="00725095">
        <w:t xml:space="preserve"> to decline, customer interest</w:t>
      </w:r>
      <w:r>
        <w:t>, investment,</w:t>
      </w:r>
      <w:r w:rsidRPr="00725095">
        <w:t xml:space="preserve"> and</w:t>
      </w:r>
      <w:r>
        <w:t xml:space="preserve"> </w:t>
      </w:r>
      <w:r w:rsidRPr="00725095">
        <w:t xml:space="preserve">support of renewables </w:t>
      </w:r>
      <w:r>
        <w:t>continues to grow</w:t>
      </w:r>
      <w:r w:rsidRPr="00725095">
        <w:t xml:space="preserve">. </w:t>
      </w:r>
      <w:r w:rsidR="00686AA1">
        <w:t>C</w:t>
      </w:r>
      <w:r w:rsidR="00177635" w:rsidRPr="00725095">
        <w:t>ustomers</w:t>
      </w:r>
      <w:r w:rsidR="00F844A6">
        <w:t xml:space="preserve"> with</w:t>
      </w:r>
      <w:bookmarkStart w:id="172" w:name="_Hlk532648289"/>
      <w:r w:rsidR="00F844A6">
        <w:t xml:space="preserve"> an </w:t>
      </w:r>
      <w:r w:rsidR="008E11CD">
        <w:t xml:space="preserve">interest </w:t>
      </w:r>
      <w:bookmarkEnd w:id="172"/>
      <w:r w:rsidR="00111B7E">
        <w:t>in</w:t>
      </w:r>
      <w:r w:rsidR="00177635" w:rsidRPr="00725095">
        <w:t xml:space="preserve"> </w:t>
      </w:r>
      <w:r w:rsidRPr="00725095">
        <w:t>sustainability</w:t>
      </w:r>
      <w:r w:rsidR="00F844A6">
        <w:t xml:space="preserve"> </w:t>
      </w:r>
      <w:r>
        <w:t xml:space="preserve">are leveraging Georgia Power’s renewable programs to assist in achieving </w:t>
      </w:r>
      <w:r w:rsidR="008821ED">
        <w:t>those</w:t>
      </w:r>
      <w:r>
        <w:t xml:space="preserve"> goals. </w:t>
      </w:r>
      <w:r w:rsidRPr="00096AD7">
        <w:t xml:space="preserve">Georgia Power </w:t>
      </w:r>
      <w:r>
        <w:t>remains committed to meeting customer needs through</w:t>
      </w:r>
      <w:r w:rsidRPr="00096AD7">
        <w:t xml:space="preserve"> renewable </w:t>
      </w:r>
      <w:r>
        <w:t>programs</w:t>
      </w:r>
      <w:r w:rsidRPr="00096AD7">
        <w:t xml:space="preserve"> </w:t>
      </w:r>
      <w:r>
        <w:t>that provide value from market-based procurement strategies aimed at maximizing long term</w:t>
      </w:r>
      <w:r w:rsidRPr="00096AD7">
        <w:t xml:space="preserve"> projected avoided cost savings.</w:t>
      </w:r>
    </w:p>
    <w:p w14:paraId="536F190D" w14:textId="0C9D4A0D" w:rsidR="002B29CB" w:rsidRDefault="00686AA1" w:rsidP="002B29CB">
      <w:pPr>
        <w:rPr>
          <w:rFonts w:ascii="Times New Roman" w:eastAsia="Times New Roman" w:hAnsi="Times New Roman" w:cs="Times New Roman"/>
          <w:sz w:val="24"/>
          <w:szCs w:val="24"/>
        </w:rPr>
      </w:pPr>
      <w:r>
        <w:t xml:space="preserve">Since the 2016 IRP, Georgia Power completed the Advanced Solar Initiative (“ASI”) and ASI Prime programs. </w:t>
      </w:r>
      <w:r w:rsidR="005E7F27">
        <w:t>T</w:t>
      </w:r>
      <w:r>
        <w:t>hese procurements amounted to 733 MW of solar resources, of which 555 MW are utility scale and 178 MW are DG. The successful implementation of these programs was used as a guide for the design of the REDI programs that were approved in the 2016 IRP. T</w:t>
      </w:r>
      <w:r w:rsidRPr="00725095">
        <w:t xml:space="preserve">he </w:t>
      </w:r>
      <w:r>
        <w:t>REDI programs currently being implemented</w:t>
      </w:r>
      <w:r w:rsidRPr="00725095">
        <w:t xml:space="preserve"> include competitive procurement</w:t>
      </w:r>
      <w:r>
        <w:t>s</w:t>
      </w:r>
      <w:r w:rsidRPr="00725095">
        <w:t xml:space="preserve"> </w:t>
      </w:r>
      <w:r>
        <w:t>of</w:t>
      </w:r>
      <w:r w:rsidRPr="00725095">
        <w:t xml:space="preserve"> 1,050 MW of utility-scale renewable resources, </w:t>
      </w:r>
      <w:r>
        <w:t xml:space="preserve">a </w:t>
      </w:r>
      <w:r w:rsidR="00711541" w:rsidRPr="00725095">
        <w:t xml:space="preserve">competitive procurement </w:t>
      </w:r>
      <w:r w:rsidR="00711541">
        <w:t>of</w:t>
      </w:r>
      <w:r w:rsidR="00711541" w:rsidRPr="00725095">
        <w:t xml:space="preserve"> 100 MW </w:t>
      </w:r>
      <w:r w:rsidR="00711541">
        <w:t xml:space="preserve">of </w:t>
      </w:r>
      <w:r w:rsidR="00711541" w:rsidRPr="00725095">
        <w:t xml:space="preserve">DG solar resources, and 50 MW of customer-sited DG </w:t>
      </w:r>
      <w:r w:rsidR="00711541">
        <w:t xml:space="preserve">solar </w:t>
      </w:r>
      <w:r w:rsidR="00711541" w:rsidRPr="00725095">
        <w:t xml:space="preserve">resources. For large </w:t>
      </w:r>
      <w:r w:rsidR="00711541">
        <w:t>C&amp;I</w:t>
      </w:r>
      <w:r w:rsidR="00711541" w:rsidRPr="00725095">
        <w:t xml:space="preserve"> customer participants, Georgia Power introduced the C&amp;I REDI program, which competitively procured an additional 177.5 MW of </w:t>
      </w:r>
      <w:r w:rsidR="002B29CB" w:rsidRPr="00725095">
        <w:t xml:space="preserve">solar resources. </w:t>
      </w:r>
      <w:r w:rsidR="00711541">
        <w:t>C&amp;I</w:t>
      </w:r>
      <w:r w:rsidR="00711541" w:rsidRPr="00725095">
        <w:t xml:space="preserve"> customers also have the option to participate in</w:t>
      </w:r>
      <w:r w:rsidR="00711541">
        <w:t xml:space="preserve"> Georgia Power’s</w:t>
      </w:r>
      <w:r w:rsidR="00711541" w:rsidRPr="00725095">
        <w:t xml:space="preserve"> Simple Solar </w:t>
      </w:r>
      <w:r w:rsidR="00CA763C">
        <w:t>p</w:t>
      </w:r>
      <w:r w:rsidR="00711541" w:rsidRPr="00725095">
        <w:t xml:space="preserve">rogram, a </w:t>
      </w:r>
      <w:r w:rsidR="00711541">
        <w:t xml:space="preserve">solar </w:t>
      </w:r>
      <w:r w:rsidR="004618B7">
        <w:t>r</w:t>
      </w:r>
      <w:r w:rsidR="001076BF">
        <w:t xml:space="preserve">enewable </w:t>
      </w:r>
      <w:r w:rsidR="004618B7">
        <w:t>e</w:t>
      </w:r>
      <w:r w:rsidR="001076BF">
        <w:t xml:space="preserve">nergy </w:t>
      </w:r>
      <w:r w:rsidR="004618B7">
        <w:t>c</w:t>
      </w:r>
      <w:r w:rsidR="001076BF">
        <w:t>redit (“</w:t>
      </w:r>
      <w:r w:rsidR="00711541" w:rsidRPr="00725095">
        <w:t>REC</w:t>
      </w:r>
      <w:r w:rsidR="001076BF">
        <w:t>”)</w:t>
      </w:r>
      <w:r w:rsidR="00711541" w:rsidRPr="00725095">
        <w:t xml:space="preserve"> purchasing program. Residential customers can participate in the Simple Solar program </w:t>
      </w:r>
      <w:r w:rsidR="00711541">
        <w:t>and</w:t>
      </w:r>
      <w:r w:rsidR="00711541" w:rsidRPr="00725095">
        <w:t xml:space="preserve"> have the added option to subscribe to blocks of energy through Georgia Power’s Community Solar program. The Company continues to support and engage with all customers by </w:t>
      </w:r>
      <w:r w:rsidR="00711541">
        <w:t>offering</w:t>
      </w:r>
      <w:r w:rsidR="00711541" w:rsidRPr="00725095">
        <w:t xml:space="preserve"> solar analysis and guidance on their </w:t>
      </w:r>
      <w:r w:rsidR="00711541">
        <w:t>decisions</w:t>
      </w:r>
      <w:r w:rsidR="00711541" w:rsidRPr="00725095">
        <w:t xml:space="preserve"> for pursuing renewable options</w:t>
      </w:r>
      <w:r w:rsidR="00711541">
        <w:rPr>
          <w:rFonts w:ascii="Times New Roman" w:eastAsia="Times New Roman" w:hAnsi="Times New Roman" w:cs="Times New Roman"/>
          <w:sz w:val="24"/>
          <w:szCs w:val="24"/>
        </w:rPr>
        <w:t>.</w:t>
      </w:r>
      <w:r w:rsidR="00711541" w:rsidRPr="00D82E52">
        <w:rPr>
          <w:rFonts w:asciiTheme="minorHAnsi" w:eastAsia="Times New Roman" w:hAnsiTheme="minorHAnsi" w:cstheme="minorHAnsi"/>
        </w:rPr>
        <w:t xml:space="preserve"> Fin</w:t>
      </w:r>
      <w:r w:rsidR="00711541">
        <w:t xml:space="preserve">ally, the Company is developing a portfolio of self-build renewable </w:t>
      </w:r>
      <w:r w:rsidR="005E7F27">
        <w:t>resources</w:t>
      </w:r>
      <w:r w:rsidR="00711541">
        <w:t xml:space="preserve"> in Georgia </w:t>
      </w:r>
      <w:r>
        <w:t xml:space="preserve">and has already completed projects at Fort Benning, Fort Gordon, Fort Stewart, Kings Bay, and the Marine Corps Logistics Base in Albany.  Following the 2016 IRP, Georgia Power is developing seven additional solar facilities </w:t>
      </w:r>
      <w:r w:rsidR="00711541">
        <w:t xml:space="preserve">on military bases and college campuses, including projects at Robins and </w:t>
      </w:r>
      <w:r w:rsidR="00CA763C">
        <w:t>Moody</w:t>
      </w:r>
      <w:r w:rsidR="002B29CB">
        <w:t xml:space="preserve"> </w:t>
      </w:r>
      <w:r w:rsidR="008E11CD">
        <w:t>Air Force Bases</w:t>
      </w:r>
      <w:r w:rsidR="002B29CB">
        <w:t xml:space="preserve"> and F</w:t>
      </w:r>
      <w:r w:rsidR="00A23ADE">
        <w:t>ort</w:t>
      </w:r>
      <w:r w:rsidR="002B29CB">
        <w:t xml:space="preserve"> Valley State and Geor</w:t>
      </w:r>
      <w:r w:rsidR="00CA763C">
        <w:t>gia College and State Universities,</w:t>
      </w:r>
      <w:r w:rsidR="00711541">
        <w:t xml:space="preserve"> as well as the </w:t>
      </w:r>
      <w:r w:rsidR="00CA763C">
        <w:t xml:space="preserve">Community Solar </w:t>
      </w:r>
      <w:r w:rsidR="00711541">
        <w:t>facilities in Comer, Guyton</w:t>
      </w:r>
      <w:r w:rsidR="00CA763C">
        <w:t>,</w:t>
      </w:r>
      <w:r w:rsidR="00711541">
        <w:t xml:space="preserve"> and Waynesboro</w:t>
      </w:r>
      <w:r w:rsidR="00CA763C">
        <w:t>.</w:t>
      </w:r>
    </w:p>
    <w:p w14:paraId="7AB65A8C" w14:textId="47567A10" w:rsidR="002B29CB" w:rsidRPr="00725095" w:rsidRDefault="00241CF9" w:rsidP="002B29CB">
      <w:r>
        <w:t>Through direct feedback from the Company’s customers and based on market</w:t>
      </w:r>
      <w:r w:rsidRPr="00725095">
        <w:t xml:space="preserve"> research completed </w:t>
      </w:r>
      <w:r w:rsidR="007C4CE7">
        <w:t>i</w:t>
      </w:r>
      <w:r w:rsidRPr="00725095">
        <w:t xml:space="preserve">n </w:t>
      </w:r>
      <w:r w:rsidR="007C4CE7">
        <w:t xml:space="preserve">late </w:t>
      </w:r>
      <w:r w:rsidRPr="00725095">
        <w:t xml:space="preserve">2018, Georgia Power confirmed </w:t>
      </w:r>
      <w:r w:rsidR="002B29CB" w:rsidRPr="00725095">
        <w:t>that customers across all classes are</w:t>
      </w:r>
      <w:r w:rsidR="00810119">
        <w:t xml:space="preserve"> generally</w:t>
      </w:r>
      <w:r w:rsidR="002B29CB" w:rsidRPr="00725095">
        <w:t xml:space="preserve"> supportive of the Company’s approach to renewable procurement and programs. As such, the Company </w:t>
      </w:r>
      <w:r w:rsidR="002B29CB">
        <w:t xml:space="preserve">plans to </w:t>
      </w:r>
      <w:r w:rsidR="002B29CB" w:rsidRPr="00725095">
        <w:t xml:space="preserve">continue </w:t>
      </w:r>
      <w:r w:rsidR="002B29CB">
        <w:t>working</w:t>
      </w:r>
      <w:r w:rsidR="002B29CB" w:rsidRPr="00725095">
        <w:t xml:space="preserve"> with the Commission, </w:t>
      </w:r>
      <w:r w:rsidR="002B29CB">
        <w:t>customers, and other stakeholders</w:t>
      </w:r>
      <w:r w:rsidR="002B29CB" w:rsidRPr="00725095">
        <w:t xml:space="preserve"> to design programs that build </w:t>
      </w:r>
      <w:r w:rsidR="002B29CB">
        <w:t>upon</w:t>
      </w:r>
      <w:r w:rsidR="002B29CB" w:rsidRPr="00725095">
        <w:t xml:space="preserve"> </w:t>
      </w:r>
      <w:r>
        <w:t>the Company’s</w:t>
      </w:r>
      <w:r w:rsidR="002B29CB" w:rsidRPr="00725095">
        <w:t xml:space="preserve"> previous </w:t>
      </w:r>
      <w:r w:rsidR="00810119">
        <w:t>lessons learned</w:t>
      </w:r>
      <w:r w:rsidR="00810119" w:rsidRPr="00725095">
        <w:t xml:space="preserve"> </w:t>
      </w:r>
      <w:r w:rsidR="002B29CB" w:rsidRPr="00725095">
        <w:t>and best practices to deliver industry</w:t>
      </w:r>
      <w:r w:rsidR="002B29CB">
        <w:t>-</w:t>
      </w:r>
      <w:r w:rsidR="002B29CB" w:rsidRPr="00725095">
        <w:t>leading</w:t>
      </w:r>
      <w:r w:rsidR="002B29CB">
        <w:t>,</w:t>
      </w:r>
      <w:r w:rsidR="002B29CB" w:rsidRPr="00725095">
        <w:t xml:space="preserve"> customer</w:t>
      </w:r>
      <w:r w:rsidR="002B29CB">
        <w:t>-</w:t>
      </w:r>
      <w:r w:rsidR="002B29CB" w:rsidRPr="00725095">
        <w:t xml:space="preserve">focused renewable solutions. </w:t>
      </w:r>
      <w:r w:rsidR="00810119" w:rsidRPr="00725095">
        <w:t>Th</w:t>
      </w:r>
      <w:r w:rsidR="00810119">
        <w:t>is</w:t>
      </w:r>
      <w:r w:rsidR="00810119" w:rsidRPr="00725095">
        <w:t xml:space="preserve"> </w:t>
      </w:r>
      <w:r w:rsidR="00810119">
        <w:t xml:space="preserve">experience is </w:t>
      </w:r>
      <w:r w:rsidR="00810119" w:rsidRPr="00725095">
        <w:t xml:space="preserve">applied to </w:t>
      </w:r>
      <w:r w:rsidR="00810119">
        <w:t xml:space="preserve">program </w:t>
      </w:r>
      <w:r w:rsidR="00810119" w:rsidRPr="00725095">
        <w:t xml:space="preserve">design in accordance with Georgia Power’s three basic </w:t>
      </w:r>
      <w:r w:rsidR="00810119">
        <w:t>r</w:t>
      </w:r>
      <w:r w:rsidR="00810119" w:rsidRPr="00725095">
        <w:t xml:space="preserve">enewable </w:t>
      </w:r>
      <w:r w:rsidR="00810119">
        <w:t>e</w:t>
      </w:r>
      <w:r w:rsidR="00810119" w:rsidRPr="00725095">
        <w:t>nergy principles:</w:t>
      </w:r>
      <w:r w:rsidR="00810119" w:rsidRPr="00E2017E">
        <w:t xml:space="preserve"> </w:t>
      </w:r>
      <w:r w:rsidR="00810119">
        <w:t xml:space="preserve">(1) maintain customer fairness by </w:t>
      </w:r>
      <w:r w:rsidR="00810119" w:rsidRPr="00725095">
        <w:t>minimiz</w:t>
      </w:r>
      <w:r w:rsidR="00810119">
        <w:t>ing</w:t>
      </w:r>
      <w:r w:rsidR="00810119" w:rsidRPr="00725095">
        <w:t xml:space="preserve"> cross-subsidization of programs across customer groups</w:t>
      </w:r>
      <w:r w:rsidR="00810119">
        <w:t>; (2) appropriately value</w:t>
      </w:r>
      <w:r w:rsidR="00810119" w:rsidRPr="00725095">
        <w:t xml:space="preserve"> </w:t>
      </w:r>
      <w:r w:rsidR="00810119">
        <w:t xml:space="preserve">costs and benefits of </w:t>
      </w:r>
      <w:r w:rsidR="00810119" w:rsidRPr="00725095">
        <w:t xml:space="preserve">renewable energy as defined by the </w:t>
      </w:r>
      <w:r w:rsidR="00810119">
        <w:t>RCB Framework;</w:t>
      </w:r>
      <w:r w:rsidR="00810119" w:rsidRPr="00725095">
        <w:t xml:space="preserve"> and </w:t>
      </w:r>
      <w:r w:rsidR="00810119">
        <w:t xml:space="preserve">(3) </w:t>
      </w:r>
      <w:r w:rsidR="00810119" w:rsidRPr="00725095">
        <w:t>generate maximum value for customers by focusing on market-based procurement strategies. With these principles in mind, Georgia Power intends to continue disciplined growth in the rapidly evolving renewable energy sector, c</w:t>
      </w:r>
      <w:r w:rsidR="00810119">
        <w:t>onsistent with prior Commission-</w:t>
      </w:r>
      <w:r w:rsidR="00810119" w:rsidRPr="00725095">
        <w:t>approved programs and initiatives.</w:t>
      </w:r>
    </w:p>
    <w:p w14:paraId="441EAAED" w14:textId="3B5756B8" w:rsidR="00D96962" w:rsidRPr="006549EE" w:rsidRDefault="00453FD9" w:rsidP="00817EA7">
      <w:pPr>
        <w:pStyle w:val="Heading2"/>
      </w:pPr>
      <w:bookmarkStart w:id="173" w:name="_Toc536209146"/>
      <w:r>
        <w:t xml:space="preserve">New </w:t>
      </w:r>
      <w:r w:rsidR="005116E0" w:rsidRPr="006549EE">
        <w:t>Renewable</w:t>
      </w:r>
      <w:r>
        <w:t xml:space="preserve"> Resources</w:t>
      </w:r>
      <w:bookmarkEnd w:id="173"/>
      <w:r w:rsidR="005116E0" w:rsidRPr="006549EE">
        <w:t xml:space="preserve"> </w:t>
      </w:r>
    </w:p>
    <w:p w14:paraId="4D9AA2B5" w14:textId="504D6C44" w:rsidR="00F91C99" w:rsidRDefault="001052E2" w:rsidP="00F91C99">
      <w:r>
        <w:t>T</w:t>
      </w:r>
      <w:r w:rsidR="00F91C99" w:rsidRPr="00725095">
        <w:t xml:space="preserve">he Company proposes a procurement strategy that will maintain the steady growth of renewable generation in Georgia and </w:t>
      </w:r>
      <w:r w:rsidR="002B29CB">
        <w:t xml:space="preserve">build upon </w:t>
      </w:r>
      <w:r w:rsidR="00F91C99">
        <w:t>the</w:t>
      </w:r>
      <w:r w:rsidR="00F844A6">
        <w:t xml:space="preserve"> success of the</w:t>
      </w:r>
      <w:r w:rsidR="00F91C99">
        <w:t xml:space="preserve"> C&amp;I REDI program, which </w:t>
      </w:r>
      <w:r w:rsidR="00F91C99" w:rsidRPr="00725095">
        <w:t xml:space="preserve">has been </w:t>
      </w:r>
      <w:r w:rsidR="00810119">
        <w:t xml:space="preserve">recognized </w:t>
      </w:r>
      <w:r w:rsidR="002B29CB">
        <w:t>as an</w:t>
      </w:r>
      <w:r w:rsidR="00F91C99">
        <w:t xml:space="preserve"> effective </w:t>
      </w:r>
      <w:r w:rsidR="002B29CB">
        <w:t>design that aligns</w:t>
      </w:r>
      <w:r w:rsidR="008E11CD">
        <w:t xml:space="preserve"> </w:t>
      </w:r>
      <w:r w:rsidR="00F91C99">
        <w:t xml:space="preserve">customer </w:t>
      </w:r>
      <w:r w:rsidR="002B29CB">
        <w:t xml:space="preserve">needs </w:t>
      </w:r>
      <w:r w:rsidR="00810119">
        <w:t xml:space="preserve">with </w:t>
      </w:r>
      <w:r w:rsidR="00F91C99">
        <w:t xml:space="preserve">competitive procurement </w:t>
      </w:r>
      <w:r w:rsidR="002B29CB">
        <w:t xml:space="preserve">of </w:t>
      </w:r>
      <w:r>
        <w:t xml:space="preserve">utility-scale </w:t>
      </w:r>
      <w:r w:rsidR="002B29CB">
        <w:t xml:space="preserve">renewable </w:t>
      </w:r>
      <w:r w:rsidR="00453FD9">
        <w:t>resources</w:t>
      </w:r>
      <w:r w:rsidR="00F91C99" w:rsidRPr="00725095">
        <w:t xml:space="preserve">. </w:t>
      </w:r>
      <w:r w:rsidR="00453FD9" w:rsidRPr="00725095">
        <w:t xml:space="preserve">Additionally, Georgia Power </w:t>
      </w:r>
      <w:r w:rsidR="00453FD9">
        <w:t xml:space="preserve">will competitively procure </w:t>
      </w:r>
      <w:r w:rsidR="0095553A">
        <w:t>renewable</w:t>
      </w:r>
      <w:r w:rsidR="00810119">
        <w:t xml:space="preserve"> </w:t>
      </w:r>
      <w:r w:rsidR="00453FD9">
        <w:t>DG resources</w:t>
      </w:r>
      <w:r w:rsidR="006F3A96">
        <w:t xml:space="preserve"> </w:t>
      </w:r>
      <w:r w:rsidR="00453FD9" w:rsidRPr="00725095">
        <w:t xml:space="preserve">and enhance existing programs with minor modifications to maximize value for customers. The combination of these modified programs and continued procurement </w:t>
      </w:r>
      <w:r w:rsidR="00453FD9">
        <w:t xml:space="preserve">is designed to complement the Company’s IRP for the benefit </w:t>
      </w:r>
      <w:r w:rsidR="00954B88">
        <w:t xml:space="preserve">of </w:t>
      </w:r>
      <w:r w:rsidR="00453FD9" w:rsidRPr="00725095">
        <w:t xml:space="preserve">all </w:t>
      </w:r>
      <w:r w:rsidR="00453FD9">
        <w:t>customers</w:t>
      </w:r>
      <w:r w:rsidR="00810119">
        <w:t xml:space="preserve">. Consistent with the previous practice, energy will be procured competitively, below the Company’s projected long term avoided cost. </w:t>
      </w:r>
      <w:r w:rsidR="00686AA1">
        <w:t xml:space="preserve"> The costs to administer and implement renewable energy programs will </w:t>
      </w:r>
      <w:r w:rsidR="00810119">
        <w:t xml:space="preserve">continue to be recovered through the fuel clause. </w:t>
      </w:r>
      <w:r w:rsidR="000D5A25">
        <w:t>A</w:t>
      </w:r>
      <w:r w:rsidR="00453FD9" w:rsidRPr="00725095">
        <w:t>s discussed in the supply-side strategy in</w:t>
      </w:r>
      <w:r w:rsidR="00453FD9">
        <w:t xml:space="preserve"> </w:t>
      </w:r>
      <w:r w:rsidR="009206B9">
        <w:fldChar w:fldCharType="begin"/>
      </w:r>
      <w:r w:rsidR="009206B9">
        <w:instrText xml:space="preserve"> REF _Ref531354561 \r \h </w:instrText>
      </w:r>
      <w:r w:rsidR="009206B9">
        <w:fldChar w:fldCharType="separate"/>
      </w:r>
      <w:r w:rsidR="00F33DA2">
        <w:t>CHAPTER 10</w:t>
      </w:r>
      <w:r w:rsidR="009206B9">
        <w:fldChar w:fldCharType="end"/>
      </w:r>
      <w:r w:rsidR="00453FD9" w:rsidRPr="00725095">
        <w:t xml:space="preserve">, the Company also proposes to </w:t>
      </w:r>
      <w:r w:rsidR="000D5A25">
        <w:t xml:space="preserve">investigate </w:t>
      </w:r>
      <w:r w:rsidR="007175ED">
        <w:t xml:space="preserve">battery </w:t>
      </w:r>
      <w:r w:rsidR="00810119">
        <w:t xml:space="preserve">energy </w:t>
      </w:r>
      <w:r w:rsidR="000D5A25">
        <w:t xml:space="preserve">storage </w:t>
      </w:r>
      <w:r w:rsidR="00810119">
        <w:t xml:space="preserve">applications deployed </w:t>
      </w:r>
      <w:r w:rsidR="00810119" w:rsidRPr="00725095">
        <w:t>both independently and in tandem with intermittent resources</w:t>
      </w:r>
      <w:r w:rsidR="00810119">
        <w:t>, to enhance</w:t>
      </w:r>
      <w:r w:rsidR="00810119" w:rsidRPr="00725095">
        <w:t xml:space="preserve"> Georgia Power</w:t>
      </w:r>
      <w:r w:rsidR="00810119">
        <w:t>’s</w:t>
      </w:r>
      <w:r w:rsidR="00810119" w:rsidRPr="00725095">
        <w:t xml:space="preserve"> understanding of the impacts </w:t>
      </w:r>
      <w:r w:rsidR="00810119">
        <w:t>of energy storage on the system</w:t>
      </w:r>
      <w:r w:rsidR="00810119" w:rsidRPr="00725095">
        <w:t>.</w:t>
      </w:r>
      <w:r w:rsidR="00810119">
        <w:t xml:space="preserve"> To support this learning objective, Georgia Power proposes to add 50 MW of self-build storage capacity.</w:t>
      </w:r>
      <w:r w:rsidR="000D5A25">
        <w:t xml:space="preserve"> </w:t>
      </w:r>
    </w:p>
    <w:p w14:paraId="785A5964" w14:textId="068492B7" w:rsidR="00E4277B" w:rsidRDefault="00E4277B" w:rsidP="00E4277B">
      <w:pPr>
        <w:pStyle w:val="Heading3"/>
      </w:pPr>
      <w:r>
        <w:t xml:space="preserve">Utility-Scale </w:t>
      </w:r>
      <w:r w:rsidRPr="00A61CF4">
        <w:t>P</w:t>
      </w:r>
      <w:r>
        <w:t>rocurement Strategy</w:t>
      </w:r>
    </w:p>
    <w:p w14:paraId="00CDB617" w14:textId="6E065A35" w:rsidR="009A0F18" w:rsidRDefault="00453FD9" w:rsidP="009A0F18">
      <w:r w:rsidRPr="00725095">
        <w:t xml:space="preserve">Georgia Power proposes to procure </w:t>
      </w:r>
      <w:r>
        <w:t xml:space="preserve">energy from </w:t>
      </w:r>
      <w:r w:rsidR="006F3A96">
        <w:t xml:space="preserve">up to </w:t>
      </w:r>
      <w:r>
        <w:t xml:space="preserve">950 MW of </w:t>
      </w:r>
      <w:r w:rsidR="00AF7765">
        <w:t>utility</w:t>
      </w:r>
      <w:r>
        <w:t xml:space="preserve">-scale renewable resources greater than 3 MW </w:t>
      </w:r>
      <w:r w:rsidR="006F3A96">
        <w:t>alternating current (“</w:t>
      </w:r>
      <w:r>
        <w:t>AC</w:t>
      </w:r>
      <w:r w:rsidR="006F3A96">
        <w:t>”)</w:t>
      </w:r>
      <w:r>
        <w:t xml:space="preserve"> in size</w:t>
      </w:r>
      <w:r w:rsidR="00810119">
        <w:t>,</w:t>
      </w:r>
      <w:r w:rsidR="00230030">
        <w:t xml:space="preserve"> </w:t>
      </w:r>
      <w:r w:rsidR="00230030" w:rsidRPr="00A104A0">
        <w:t>below Georgia Power’s projected avoided cost</w:t>
      </w:r>
      <w:r w:rsidR="00230030">
        <w:t>s</w:t>
      </w:r>
      <w:r w:rsidR="00F844A6">
        <w:t xml:space="preserve"> through the CRSP program</w:t>
      </w:r>
      <w:r>
        <w:t xml:space="preserve">. </w:t>
      </w:r>
      <w:r w:rsidR="008E11CD" w:rsidRPr="00725095">
        <w:t xml:space="preserve">Discussed in further detail below, </w:t>
      </w:r>
      <w:r w:rsidR="00230030">
        <w:t xml:space="preserve">the CRSP </w:t>
      </w:r>
      <w:r w:rsidR="008E11CD" w:rsidRPr="00725095">
        <w:t>program will</w:t>
      </w:r>
      <w:r w:rsidR="008E11CD">
        <w:t xml:space="preserve"> be designed to </w:t>
      </w:r>
      <w:r w:rsidR="008E11CD" w:rsidRPr="00725095">
        <w:t xml:space="preserve">build </w:t>
      </w:r>
      <w:r w:rsidR="008E11CD">
        <w:t>upon</w:t>
      </w:r>
      <w:r w:rsidR="008E11CD" w:rsidRPr="00725095">
        <w:t xml:space="preserve"> the success of the Company’s previous C&amp;I REDI program</w:t>
      </w:r>
      <w:r w:rsidR="008E11CD">
        <w:t xml:space="preserve"> and will </w:t>
      </w:r>
      <w:r w:rsidR="007A5373">
        <w:t>procure</w:t>
      </w:r>
      <w:r w:rsidR="007A5373" w:rsidRPr="00725095">
        <w:t xml:space="preserve"> resources </w:t>
      </w:r>
      <w:r w:rsidR="007A5373">
        <w:t xml:space="preserve">available for subscription </w:t>
      </w:r>
      <w:r w:rsidR="007A5373" w:rsidRPr="00725095">
        <w:t>by</w:t>
      </w:r>
      <w:r w:rsidR="007A5373">
        <w:t xml:space="preserve"> both existing and new</w:t>
      </w:r>
      <w:r w:rsidR="007A5373" w:rsidRPr="00725095">
        <w:t xml:space="preserve"> customers</w:t>
      </w:r>
      <w:r w:rsidR="007A5373">
        <w:t xml:space="preserve">. The CRSP </w:t>
      </w:r>
      <w:r w:rsidR="009A0F18">
        <w:t>program</w:t>
      </w:r>
      <w:r w:rsidR="009A0F18" w:rsidRPr="00725095">
        <w:t xml:space="preserve"> will simultaneously help participating customers meet their sustainability goals and deliver </w:t>
      </w:r>
      <w:r w:rsidR="009A0F18">
        <w:t xml:space="preserve">projected </w:t>
      </w:r>
      <w:r w:rsidR="009A0F18" w:rsidRPr="00725095">
        <w:t xml:space="preserve">long-term savings </w:t>
      </w:r>
      <w:r w:rsidR="00230030">
        <w:t>for all Georgia Power customers</w:t>
      </w:r>
      <w:r w:rsidR="009A0F18" w:rsidRPr="00725095">
        <w:t>.</w:t>
      </w:r>
    </w:p>
    <w:p w14:paraId="377C72FD" w14:textId="4DB4A115" w:rsidR="000D5A25" w:rsidRPr="00A104A0" w:rsidRDefault="000D5A25" w:rsidP="00A104A0">
      <w:r w:rsidRPr="00A104A0">
        <w:t xml:space="preserve">The Company proposes to issue </w:t>
      </w:r>
      <w:r w:rsidR="006476C2">
        <w:t xml:space="preserve">two </w:t>
      </w:r>
      <w:r w:rsidRPr="00A104A0">
        <w:t xml:space="preserve">RFPs </w:t>
      </w:r>
      <w:r w:rsidR="006476C2">
        <w:t>for utility-scale renewable resources achieving commercial operation by 2022</w:t>
      </w:r>
      <w:r w:rsidR="00906784">
        <w:t xml:space="preserve"> (2022 Renewable RFP)</w:t>
      </w:r>
      <w:r w:rsidR="006476C2">
        <w:t xml:space="preserve"> and 2024</w:t>
      </w:r>
      <w:r w:rsidR="00906784">
        <w:t xml:space="preserve"> (2024 Renewable RFP)</w:t>
      </w:r>
      <w:r w:rsidRPr="00A104A0">
        <w:t xml:space="preserve"> available for subscription by both new and existing customers</w:t>
      </w:r>
      <w:r w:rsidR="006476C2">
        <w:t xml:space="preserve"> through the CRSP program</w:t>
      </w:r>
      <w:r w:rsidRPr="00A104A0">
        <w:t>. By offering existing large customers the opportunity to subscribe to a portfolio of up to 500 MW of new renewable resources, the Company seeks to satisfy the increasing demand from customers with specific goals to support renewable energy.</w:t>
      </w:r>
      <w:r>
        <w:t xml:space="preserve"> </w:t>
      </w:r>
      <w:r w:rsidRPr="00A104A0">
        <w:t xml:space="preserve">Additionally, up to 450 MW of </w:t>
      </w:r>
      <w:r>
        <w:t xml:space="preserve">new </w:t>
      </w:r>
      <w:r w:rsidRPr="00A104A0">
        <w:t xml:space="preserve">renewable </w:t>
      </w:r>
      <w:r>
        <w:t>resources</w:t>
      </w:r>
      <w:r w:rsidRPr="00A104A0">
        <w:t xml:space="preserve"> will be available</w:t>
      </w:r>
      <w:r>
        <w:t xml:space="preserve"> for subscription from customer load additions </w:t>
      </w:r>
      <w:r w:rsidR="00D10136">
        <w:t xml:space="preserve">greater </w:t>
      </w:r>
      <w:r>
        <w:t>than 25 MW, providing</w:t>
      </w:r>
      <w:r w:rsidRPr="00A104A0">
        <w:t xml:space="preserve"> Georgia Power with an additional economic development incentive to attract large companies who desire to support renewable energy when locating to Georgia. </w:t>
      </w:r>
      <w:r w:rsidR="00D10136">
        <w:t>T</w:t>
      </w:r>
      <w:r w:rsidRPr="00A104A0">
        <w:t xml:space="preserve">his procurement strategy </w:t>
      </w:r>
      <w:r w:rsidR="001C5912">
        <w:t>mitigate</w:t>
      </w:r>
      <w:r w:rsidR="00D10136">
        <w:t>s</w:t>
      </w:r>
      <w:r w:rsidR="001C5912">
        <w:t xml:space="preserve"> the </w:t>
      </w:r>
      <w:r w:rsidRPr="00A104A0">
        <w:t>cost risks to non-participating customers</w:t>
      </w:r>
      <w:r w:rsidR="00810119">
        <w:t>,</w:t>
      </w:r>
      <w:r w:rsidR="00810119" w:rsidRPr="00A104A0">
        <w:t xml:space="preserve"> </w:t>
      </w:r>
      <w:r w:rsidR="00810119">
        <w:t>as the</w:t>
      </w:r>
      <w:r w:rsidR="00810119" w:rsidRPr="00A104A0">
        <w:t xml:space="preserve"> subscribing customers will cover the</w:t>
      </w:r>
      <w:r w:rsidR="00810119">
        <w:t xml:space="preserve"> full</w:t>
      </w:r>
      <w:r w:rsidR="00810119" w:rsidRPr="00A104A0">
        <w:t xml:space="preserve"> cost of the </w:t>
      </w:r>
      <w:r w:rsidR="00810119">
        <w:t xml:space="preserve">renewable </w:t>
      </w:r>
      <w:r w:rsidR="00810119" w:rsidRPr="00A104A0">
        <w:t>PPAs during their participation.</w:t>
      </w:r>
    </w:p>
    <w:p w14:paraId="08A1BA9D" w14:textId="46FCF087" w:rsidR="002B2532" w:rsidRPr="00725095" w:rsidRDefault="00D10136" w:rsidP="002B2532">
      <w:r>
        <w:t>T</w:t>
      </w:r>
      <w:r w:rsidR="000D5A25">
        <w:t xml:space="preserve">he Company will select the resources that </w:t>
      </w:r>
      <w:r w:rsidR="00810119">
        <w:t>produce the most</w:t>
      </w:r>
      <w:r w:rsidR="00810119" w:rsidRPr="00725095">
        <w:t xml:space="preserve"> </w:t>
      </w:r>
      <w:r w:rsidR="000D5A25" w:rsidRPr="00725095">
        <w:t>savings for customers when compared to the projected avoided costs utilizing the RCB</w:t>
      </w:r>
      <w:r w:rsidR="000D5A25">
        <w:t xml:space="preserve"> </w:t>
      </w:r>
      <w:r w:rsidR="000D5A25" w:rsidRPr="00725095">
        <w:t xml:space="preserve">Framework. </w:t>
      </w:r>
      <w:r w:rsidR="000D5A25">
        <w:t>As authorized by statute, t</w:t>
      </w:r>
      <w:r w:rsidR="000D5A25" w:rsidRPr="00725095">
        <w:t xml:space="preserve">he Company requests to </w:t>
      </w:r>
      <w:r w:rsidR="000D5A25">
        <w:t>receive a levelized additional sum of</w:t>
      </w:r>
      <w:r w:rsidR="000D5A25" w:rsidRPr="00725095">
        <w:t xml:space="preserve"> </w:t>
      </w:r>
      <w:r w:rsidR="009B2057">
        <w:t>10</w:t>
      </w:r>
      <w:r w:rsidR="000D5A25" w:rsidRPr="00725095">
        <w:t xml:space="preserve">% of the </w:t>
      </w:r>
      <w:r w:rsidR="000D5A25">
        <w:t>net present value of</w:t>
      </w:r>
      <w:r w:rsidR="00197133">
        <w:t xml:space="preserve"> projected</w:t>
      </w:r>
      <w:r w:rsidR="000D5A25">
        <w:t xml:space="preserve"> benefits from the PPAs</w:t>
      </w:r>
      <w:r w:rsidR="000D5A25" w:rsidRPr="00725095">
        <w:t>.</w:t>
      </w:r>
      <w:r w:rsidR="000D5A25">
        <w:t xml:space="preserve"> The Company will take ownership of all RECs produced by these facilities, to retire either on behalf of the CRSP participants and/or all Georgia Power customers. </w:t>
      </w:r>
      <w:r w:rsidR="006476C2">
        <w:t>B</w:t>
      </w:r>
      <w:r w:rsidR="006476C2" w:rsidRPr="00725095">
        <w:t xml:space="preserve">id fees will be established </w:t>
      </w:r>
      <w:r w:rsidR="006476C2">
        <w:t>to recover</w:t>
      </w:r>
      <w:r w:rsidR="006476C2" w:rsidRPr="00725095">
        <w:t xml:space="preserve"> all </w:t>
      </w:r>
      <w:r w:rsidR="006476C2">
        <w:t xml:space="preserve">RFP-related </w:t>
      </w:r>
      <w:r w:rsidR="006476C2" w:rsidRPr="00725095">
        <w:t>administrative and technical evaluation costs</w:t>
      </w:r>
      <w:r w:rsidR="006476C2">
        <w:t xml:space="preserve"> incurred by the Company</w:t>
      </w:r>
      <w:r w:rsidR="006476C2" w:rsidRPr="00725095">
        <w:t xml:space="preserve">. </w:t>
      </w:r>
      <w:r w:rsidR="000D5A25">
        <w:t xml:space="preserve">The Company will work with Commission Staff and interested stakeholders to further develop the timeline for the RFPs. </w:t>
      </w:r>
      <w:r w:rsidR="002B2532">
        <w:t>Additional details about the CRSP program are detailed below in the Renewable Programs section.</w:t>
      </w:r>
    </w:p>
    <w:p w14:paraId="39F548B1" w14:textId="0E520E94" w:rsidR="001C5912" w:rsidRPr="00177635" w:rsidRDefault="001C5912" w:rsidP="001C5912">
      <w:pPr>
        <w:pStyle w:val="Heading3"/>
      </w:pPr>
      <w:r w:rsidRPr="00177635">
        <w:t>D</w:t>
      </w:r>
      <w:r>
        <w:t>istributed Generation Procurement Strategy</w:t>
      </w:r>
    </w:p>
    <w:p w14:paraId="5DB0D9B6" w14:textId="3706886E" w:rsidR="0068373D" w:rsidRDefault="0068373D">
      <w:r w:rsidRPr="00725095">
        <w:t xml:space="preserve">Distributed Generation </w:t>
      </w:r>
      <w:r>
        <w:t>continues to be</w:t>
      </w:r>
      <w:r w:rsidRPr="00725095">
        <w:t xml:space="preserve"> </w:t>
      </w:r>
      <w:r w:rsidR="00954B88">
        <w:t xml:space="preserve">part of </w:t>
      </w:r>
      <w:r w:rsidRPr="00725095">
        <w:t>the Company’s procurement strategy</w:t>
      </w:r>
      <w:r w:rsidR="00954B88">
        <w:t>.</w:t>
      </w:r>
      <w:r w:rsidRPr="00725095">
        <w:t xml:space="preserve"> </w:t>
      </w:r>
      <w:r w:rsidR="00810119" w:rsidRPr="00725095">
        <w:t>Georgia Power proposes to procure</w:t>
      </w:r>
      <w:r w:rsidR="00810119">
        <w:t xml:space="preserve"> up to 50 MW </w:t>
      </w:r>
      <w:r w:rsidR="0084716A">
        <w:t>from</w:t>
      </w:r>
      <w:r w:rsidR="00810119">
        <w:t xml:space="preserve"> </w:t>
      </w:r>
      <w:r w:rsidR="0095553A">
        <w:t>renewable</w:t>
      </w:r>
      <w:r w:rsidR="00683A83">
        <w:t xml:space="preserve"> </w:t>
      </w:r>
      <w:r w:rsidR="00810119">
        <w:t>DG resources</w:t>
      </w:r>
      <w:r w:rsidR="00683A83">
        <w:t xml:space="preserve"> </w:t>
      </w:r>
      <w:r w:rsidR="00686AA1">
        <w:t xml:space="preserve">sized </w:t>
      </w:r>
      <w:r w:rsidR="00683A83">
        <w:t>l</w:t>
      </w:r>
      <w:r w:rsidR="00810119">
        <w:t>ess than or equal to 3</w:t>
      </w:r>
      <w:r w:rsidR="0084716A">
        <w:t> </w:t>
      </w:r>
      <w:r w:rsidR="00810119">
        <w:t>MW</w:t>
      </w:r>
      <w:r w:rsidR="0084716A">
        <w:t> </w:t>
      </w:r>
      <w:r w:rsidR="00810119">
        <w:t>AC</w:t>
      </w:r>
      <w:r w:rsidR="00683A83">
        <w:t>. The Company will procure these resources</w:t>
      </w:r>
      <w:r w:rsidR="00810119">
        <w:t xml:space="preserve"> </w:t>
      </w:r>
      <w:r w:rsidR="00683A83">
        <w:t>through a competitive RFP</w:t>
      </w:r>
      <w:r w:rsidR="00683A83" w:rsidRPr="00A104A0">
        <w:t xml:space="preserve"> </w:t>
      </w:r>
      <w:r w:rsidR="00683A83">
        <w:t xml:space="preserve">at prices </w:t>
      </w:r>
      <w:r w:rsidR="00810119" w:rsidRPr="00A104A0">
        <w:t xml:space="preserve">below </w:t>
      </w:r>
      <w:r w:rsidR="0084716A">
        <w:t xml:space="preserve">Georgia Power’s </w:t>
      </w:r>
      <w:r w:rsidR="00810119" w:rsidRPr="00A104A0">
        <w:t>projected avoided cost</w:t>
      </w:r>
      <w:r w:rsidR="00810119">
        <w:t xml:space="preserve">s. </w:t>
      </w:r>
      <w:r>
        <w:t>T</w:t>
      </w:r>
      <w:r w:rsidRPr="00725095">
        <w:t xml:space="preserve">he Company requests </w:t>
      </w:r>
      <w:r w:rsidR="00D24A15" w:rsidRPr="00725095">
        <w:t xml:space="preserve">to </w:t>
      </w:r>
      <w:r w:rsidR="00D24A15">
        <w:t>receive a levelized additional sum of</w:t>
      </w:r>
      <w:r w:rsidR="00D24A15" w:rsidRPr="00725095">
        <w:t xml:space="preserve"> </w:t>
      </w:r>
      <w:r w:rsidR="009B2057">
        <w:t>10</w:t>
      </w:r>
      <w:r w:rsidR="00D24A15" w:rsidRPr="00725095">
        <w:t xml:space="preserve">% of the </w:t>
      </w:r>
      <w:r w:rsidR="00D24A15">
        <w:t xml:space="preserve">net present value of </w:t>
      </w:r>
      <w:r w:rsidR="00810119">
        <w:t xml:space="preserve">projected </w:t>
      </w:r>
      <w:r w:rsidR="00D24A15">
        <w:t>benefits realized from the PPAs</w:t>
      </w:r>
      <w:r w:rsidRPr="00725095">
        <w:t xml:space="preserve">. Bid fees will be established </w:t>
      </w:r>
      <w:r>
        <w:t>to recover</w:t>
      </w:r>
      <w:r w:rsidR="00810119">
        <w:t xml:space="preserve"> administrative and implementation costs incurred by the Company</w:t>
      </w:r>
      <w:r w:rsidR="00810119" w:rsidRPr="00725095">
        <w:t xml:space="preserve">. </w:t>
      </w:r>
    </w:p>
    <w:p w14:paraId="2CECA9E4" w14:textId="506D37EB" w:rsidR="00E13DB5" w:rsidRDefault="00E13DB5" w:rsidP="00817EA7">
      <w:pPr>
        <w:pStyle w:val="Heading2"/>
      </w:pPr>
      <w:bookmarkStart w:id="174" w:name="_Toc536209147"/>
      <w:r>
        <w:t>Renewable Programs</w:t>
      </w:r>
      <w:r w:rsidRPr="006549EE">
        <w:t xml:space="preserve"> </w:t>
      </w:r>
      <w:r w:rsidR="00CE3545">
        <w:t>for Customer Participation</w:t>
      </w:r>
      <w:bookmarkEnd w:id="174"/>
    </w:p>
    <w:bookmarkEnd w:id="170"/>
    <w:p w14:paraId="09D00225" w14:textId="344AA947" w:rsidR="00536B09" w:rsidRDefault="00536B09" w:rsidP="0092221C">
      <w:pPr>
        <w:pStyle w:val="Heading3"/>
      </w:pPr>
      <w:r w:rsidRPr="00F678DF">
        <w:t xml:space="preserve">Customer Renewable </w:t>
      </w:r>
      <w:r w:rsidR="00A104A0">
        <w:t>Supply Pro</w:t>
      </w:r>
      <w:r w:rsidR="00D24A15">
        <w:t>curement (CRSP)</w:t>
      </w:r>
    </w:p>
    <w:p w14:paraId="5CEFE381" w14:textId="768CA969" w:rsidR="0068373D" w:rsidRPr="00F678DF" w:rsidRDefault="0068373D" w:rsidP="00536B09">
      <w:r w:rsidRPr="00F678DF">
        <w:t xml:space="preserve">Based on the success of Georgia Power’s C&amp;I REDI program, the Company </w:t>
      </w:r>
      <w:r w:rsidR="00A63A7F">
        <w:t xml:space="preserve">plans </w:t>
      </w:r>
      <w:r w:rsidRPr="00F678DF">
        <w:t xml:space="preserve">to expand the customer subscription model to the overall </w:t>
      </w:r>
      <w:r w:rsidR="00AF7765">
        <w:t>utility</w:t>
      </w:r>
      <w:r>
        <w:t xml:space="preserve">-scale </w:t>
      </w:r>
      <w:r w:rsidRPr="00F678DF">
        <w:t xml:space="preserve">renewable procurement efforts to offer a large portfolio of resources </w:t>
      </w:r>
      <w:r w:rsidR="00686AA1">
        <w:t xml:space="preserve">available </w:t>
      </w:r>
      <w:r w:rsidRPr="00F678DF">
        <w:t xml:space="preserve">for subscription. The </w:t>
      </w:r>
      <w:r>
        <w:t>CRSP program,</w:t>
      </w:r>
      <w:r w:rsidRPr="00F678DF">
        <w:t xml:space="preserve"> as proposed by the Company</w:t>
      </w:r>
      <w:r>
        <w:t>,</w:t>
      </w:r>
      <w:r w:rsidRPr="00F678DF">
        <w:t xml:space="preserve"> will build upon many of the C&amp;I REDI program </w:t>
      </w:r>
      <w:r>
        <w:t>design elements</w:t>
      </w:r>
      <w:r w:rsidR="001C5912">
        <w:t>.</w:t>
      </w:r>
    </w:p>
    <w:p w14:paraId="2C188203" w14:textId="6AF1323E" w:rsidR="0068373D" w:rsidRDefault="0068373D">
      <w:r w:rsidRPr="00F678DF">
        <w:t xml:space="preserve">As proposed, participating </w:t>
      </w:r>
      <w:r w:rsidR="0092221C" w:rsidRPr="00F678DF">
        <w:t>c</w:t>
      </w:r>
      <w:r w:rsidRPr="00F678DF">
        <w:t xml:space="preserve">ustomers will enter into a customer agreement </w:t>
      </w:r>
      <w:r>
        <w:t>specifying the pricing, terms</w:t>
      </w:r>
      <w:r w:rsidR="00187CF0">
        <w:t>,</w:t>
      </w:r>
      <w:r>
        <w:t xml:space="preserve"> and conditions </w:t>
      </w:r>
      <w:r w:rsidR="00F844A6">
        <w:t>of</w:t>
      </w:r>
      <w:r w:rsidRPr="00F678DF">
        <w:t xml:space="preserve"> their participation in the </w:t>
      </w:r>
      <w:r>
        <w:t>CRSP</w:t>
      </w:r>
      <w:r w:rsidRPr="00F678DF">
        <w:t xml:space="preserve"> tariff. </w:t>
      </w:r>
      <w:r w:rsidR="00A35B07" w:rsidRPr="00F678DF">
        <w:t xml:space="preserve">The Company will </w:t>
      </w:r>
      <w:r w:rsidR="00A35B07">
        <w:t>credit</w:t>
      </w:r>
      <w:r w:rsidR="00A35B07" w:rsidRPr="00F678DF">
        <w:t xml:space="preserve"> participating customers based on the actual hourly marginal energy cost of incremental </w:t>
      </w:r>
      <w:r w:rsidR="00A35B07">
        <w:t xml:space="preserve">generation </w:t>
      </w:r>
      <w:r w:rsidR="00810119">
        <w:t xml:space="preserve">multiplied by </w:t>
      </w:r>
      <w:r w:rsidR="00A35B07">
        <w:t xml:space="preserve">the amount of energy produced by the CRSP facilities. </w:t>
      </w:r>
      <w:r w:rsidR="00187CF0">
        <w:t xml:space="preserve">The </w:t>
      </w:r>
      <w:r w:rsidRPr="00F678DF">
        <w:t xml:space="preserve">monthly </w:t>
      </w:r>
      <w:r>
        <w:t>fee</w:t>
      </w:r>
      <w:r w:rsidRPr="00F678DF">
        <w:t xml:space="preserve"> to participate in </w:t>
      </w:r>
      <w:r>
        <w:t>CRSP</w:t>
      </w:r>
      <w:r w:rsidR="00187CF0">
        <w:t xml:space="preserve"> </w:t>
      </w:r>
      <w:r w:rsidRPr="00F678DF">
        <w:t>will be in addition to the customer’s regular monthly electric service payments.</w:t>
      </w:r>
      <w:r>
        <w:t xml:space="preserve"> The a</w:t>
      </w:r>
      <w:r w:rsidRPr="00F678DF">
        <w:t xml:space="preserve">ssociated franchise fee and applicable taxes will continue to be applied to </w:t>
      </w:r>
      <w:r>
        <w:t xml:space="preserve">the </w:t>
      </w:r>
      <w:r w:rsidRPr="00F678DF">
        <w:t xml:space="preserve">entire bill. </w:t>
      </w:r>
      <w:r w:rsidR="001C5912">
        <w:t>I</w:t>
      </w:r>
      <w:r w:rsidRPr="00F678DF">
        <w:t xml:space="preserve">nterested customers will be given the opportunity to submit a </w:t>
      </w:r>
      <w:r>
        <w:t>Notice of Intent (“</w:t>
      </w:r>
      <w:r w:rsidRPr="00F678DF">
        <w:t>NOI</w:t>
      </w:r>
      <w:r>
        <w:t>”)</w:t>
      </w:r>
      <w:r w:rsidRPr="00F678DF">
        <w:t xml:space="preserve"> identifying their proposed subscription level in MW, contract term length, and other requirements related to their interest in the program. The Company proposes </w:t>
      </w:r>
      <w:r>
        <w:t>a required</w:t>
      </w:r>
      <w:r w:rsidRPr="00F678DF">
        <w:t xml:space="preserve"> NOI participation fee to offset the costs of pre-program implementation. </w:t>
      </w:r>
    </w:p>
    <w:p w14:paraId="0FD2F01E" w14:textId="77777777" w:rsidR="00A23ADE" w:rsidRDefault="00A23ADE" w:rsidP="00A23ADE">
      <w:r>
        <w:t>A</w:t>
      </w:r>
      <w:r w:rsidRPr="00725095">
        <w:t xml:space="preserve">ny </w:t>
      </w:r>
      <w:r>
        <w:t xml:space="preserve">portion of the </w:t>
      </w:r>
      <w:r w:rsidRPr="00725095">
        <w:t xml:space="preserve">total </w:t>
      </w:r>
      <w:r>
        <w:t>950</w:t>
      </w:r>
      <w:r w:rsidRPr="00725095">
        <w:t xml:space="preserve"> MW </w:t>
      </w:r>
      <w:r>
        <w:t xml:space="preserve">of renewable capacity </w:t>
      </w:r>
      <w:r w:rsidRPr="00725095">
        <w:t>t</w:t>
      </w:r>
      <w:r>
        <w:t>hat is not subscribed by participating customers (whether existing or new) will be procured to</w:t>
      </w:r>
      <w:r w:rsidRPr="00725095">
        <w:t xml:space="preserve"> serve all Georgia Power customers.</w:t>
      </w:r>
    </w:p>
    <w:p w14:paraId="64E8E9C9" w14:textId="13C26307" w:rsidR="00536B09" w:rsidRPr="00CB43E2" w:rsidRDefault="00536B09" w:rsidP="00187CF0">
      <w:pPr>
        <w:pStyle w:val="Heading4"/>
      </w:pPr>
      <w:r w:rsidRPr="00A35B07">
        <w:t>Participation Requirements for Existing Customers</w:t>
      </w:r>
      <w:r w:rsidR="00A63A7F">
        <w:t xml:space="preserve"> (Up to 500 MW)</w:t>
      </w:r>
      <w:r w:rsidRPr="00CB43E2">
        <w:t>:</w:t>
      </w:r>
    </w:p>
    <w:p w14:paraId="22FA8CEE" w14:textId="4221733A" w:rsidR="009621C1" w:rsidRDefault="009621C1" w:rsidP="009621C1">
      <w:r>
        <w:t>Existing c</w:t>
      </w:r>
      <w:r w:rsidRPr="00F678DF">
        <w:t>ustomers with a minimum annual peak demand of 3</w:t>
      </w:r>
      <w:r>
        <w:t xml:space="preserve"> </w:t>
      </w:r>
      <w:r w:rsidRPr="00F678DF">
        <w:t xml:space="preserve">MW at one </w:t>
      </w:r>
      <w:r>
        <w:t>account (</w:t>
      </w:r>
      <w:r w:rsidRPr="00F678DF">
        <w:t xml:space="preserve">or an aggregate of </w:t>
      </w:r>
      <w:r>
        <w:t xml:space="preserve">GPC </w:t>
      </w:r>
      <w:r w:rsidRPr="00F678DF">
        <w:t>accounts</w:t>
      </w:r>
      <w:r>
        <w:t xml:space="preserve"> under </w:t>
      </w:r>
      <w:r w:rsidR="00CB43E2">
        <w:t>common</w:t>
      </w:r>
      <w:r>
        <w:t xml:space="preserve"> control)</w:t>
      </w:r>
      <w:r w:rsidRPr="00F678DF">
        <w:t xml:space="preserve"> may participate and </w:t>
      </w:r>
      <w:r w:rsidR="00D301AE">
        <w:t>can</w:t>
      </w:r>
      <w:r w:rsidRPr="00F678DF">
        <w:t xml:space="preserve"> subscribe</w:t>
      </w:r>
      <w:r w:rsidR="00A35B07">
        <w:t xml:space="preserve"> in an amount</w:t>
      </w:r>
      <w:r w:rsidRPr="00F678DF">
        <w:t xml:space="preserve"> up to 100% of their preceding year’s total annual energy consumption for each of the customer’s </w:t>
      </w:r>
      <w:r w:rsidR="00CB43E2">
        <w:t>qualifying</w:t>
      </w:r>
      <w:r w:rsidR="00CB43E2" w:rsidRPr="00F678DF">
        <w:t xml:space="preserve"> </w:t>
      </w:r>
      <w:r w:rsidRPr="00F678DF">
        <w:t xml:space="preserve">premises aggregated to meet the </w:t>
      </w:r>
      <w:r w:rsidR="00CB43E2">
        <w:t>eligibility</w:t>
      </w:r>
      <w:r w:rsidR="00CB43E2" w:rsidRPr="00F678DF">
        <w:t xml:space="preserve"> </w:t>
      </w:r>
      <w:r w:rsidRPr="00F678DF">
        <w:t xml:space="preserve">criteria. If the level of </w:t>
      </w:r>
      <w:r>
        <w:t xml:space="preserve">existing </w:t>
      </w:r>
      <w:r w:rsidRPr="00F678DF">
        <w:t xml:space="preserve">customer </w:t>
      </w:r>
      <w:r>
        <w:t xml:space="preserve">capacity </w:t>
      </w:r>
      <w:r w:rsidRPr="00F678DF">
        <w:t xml:space="preserve">interest exceeds </w:t>
      </w:r>
      <w:r>
        <w:t xml:space="preserve">the available </w:t>
      </w:r>
      <w:r w:rsidRPr="00F678DF">
        <w:t xml:space="preserve">MW </w:t>
      </w:r>
      <w:r w:rsidR="00CB43E2">
        <w:t>for</w:t>
      </w:r>
      <w:r w:rsidR="00CB43E2" w:rsidRPr="00F678DF">
        <w:t xml:space="preserve"> </w:t>
      </w:r>
      <w:r w:rsidRPr="00F678DF">
        <w:t xml:space="preserve">each solicitation, Georgia Power will allocate </w:t>
      </w:r>
      <w:r w:rsidR="00D301AE">
        <w:t>subscriptions</w:t>
      </w:r>
      <w:r w:rsidR="00CB43E2" w:rsidRPr="00F678DF">
        <w:t xml:space="preserve"> </w:t>
      </w:r>
      <w:r w:rsidRPr="00F678DF">
        <w:t xml:space="preserve">among </w:t>
      </w:r>
      <w:r w:rsidR="00CB43E2">
        <w:t>participating customers</w:t>
      </w:r>
      <w:r w:rsidRPr="00F678DF">
        <w:t xml:space="preserve"> </w:t>
      </w:r>
      <w:r>
        <w:t>who complete the NOI process</w:t>
      </w:r>
      <w:r w:rsidR="00187CF0">
        <w:t>.</w:t>
      </w:r>
    </w:p>
    <w:p w14:paraId="70C4809B" w14:textId="52D4BE41" w:rsidR="00536B09" w:rsidRPr="00CB43E2" w:rsidRDefault="00536B09" w:rsidP="0092221C">
      <w:pPr>
        <w:pStyle w:val="Heading4"/>
      </w:pPr>
      <w:r w:rsidRPr="00A35B07">
        <w:t>Participation Requirements for New Load Customers</w:t>
      </w:r>
      <w:r w:rsidR="00A63A7F">
        <w:t xml:space="preserve"> (Up to 450 MW)</w:t>
      </w:r>
      <w:r w:rsidRPr="00CB43E2">
        <w:t>:</w:t>
      </w:r>
    </w:p>
    <w:p w14:paraId="774DB054" w14:textId="2A58355F" w:rsidR="0092221C" w:rsidRPr="00F678DF" w:rsidRDefault="0092221C" w:rsidP="0092221C">
      <w:r w:rsidRPr="00F678DF">
        <w:t>The C&amp;I REDI program generated interest from many customers, including many large prospective economic development customers that may choose to expand or</w:t>
      </w:r>
      <w:r>
        <w:t xml:space="preserve"> to</w:t>
      </w:r>
      <w:r w:rsidRPr="00F678DF">
        <w:t xml:space="preserve"> locate new facilities in Georgia. These customers have </w:t>
      </w:r>
      <w:r>
        <w:t>stated</w:t>
      </w:r>
      <w:r w:rsidRPr="00F678DF">
        <w:t xml:space="preserve"> that the availability </w:t>
      </w:r>
      <w:r>
        <w:t xml:space="preserve">of </w:t>
      </w:r>
      <w:r w:rsidRPr="00F678DF">
        <w:t xml:space="preserve">renewable energy options is a significant factor in determining the location and electric service provider to serve new load. To </w:t>
      </w:r>
      <w:r>
        <w:t>help attract</w:t>
      </w:r>
      <w:r w:rsidRPr="00F678DF">
        <w:t xml:space="preserve"> </w:t>
      </w:r>
      <w:r w:rsidR="00686AA1">
        <w:t>this new load</w:t>
      </w:r>
      <w:r w:rsidRPr="00F678DF">
        <w:t xml:space="preserve">, Georgia Power </w:t>
      </w:r>
      <w:r>
        <w:t>will offer</w:t>
      </w:r>
      <w:r w:rsidRPr="00F678DF">
        <w:t xml:space="preserve"> up to </w:t>
      </w:r>
      <w:r>
        <w:t>45</w:t>
      </w:r>
      <w:r w:rsidRPr="00F678DF">
        <w:t xml:space="preserve">0 MW of renewable generation for subscription by customers </w:t>
      </w:r>
      <w:r w:rsidR="00810119">
        <w:t xml:space="preserve">adding </w:t>
      </w:r>
      <w:r>
        <w:t>incremental,</w:t>
      </w:r>
      <w:r w:rsidRPr="00F678DF">
        <w:t xml:space="preserve"> new load of 25 MW or greater.</w:t>
      </w:r>
    </w:p>
    <w:p w14:paraId="60DC4579" w14:textId="34AC910B" w:rsidR="00536B09" w:rsidRPr="004B3DCF" w:rsidRDefault="009621C1" w:rsidP="00536B09">
      <w:r w:rsidRPr="00F678DF">
        <w:t xml:space="preserve">Georgia Power </w:t>
      </w:r>
      <w:r>
        <w:t>will</w:t>
      </w:r>
      <w:r w:rsidRPr="00F678DF">
        <w:t xml:space="preserve"> fil</w:t>
      </w:r>
      <w:r>
        <w:t>e</w:t>
      </w:r>
      <w:r w:rsidRPr="00F678DF">
        <w:t xml:space="preserve"> further program details and timelines</w:t>
      </w:r>
      <w:r>
        <w:t xml:space="preserve"> for the CRSP program</w:t>
      </w:r>
      <w:r w:rsidRPr="00F678DF">
        <w:t xml:space="preserve"> </w:t>
      </w:r>
      <w:r>
        <w:t>following the approval of the 2019 IRP.</w:t>
      </w:r>
      <w:r w:rsidRPr="00F678DF">
        <w:t xml:space="preserve"> </w:t>
      </w:r>
    </w:p>
    <w:p w14:paraId="1733C870" w14:textId="53385271" w:rsidR="00D96962" w:rsidRDefault="00D96962" w:rsidP="00817EA7">
      <w:pPr>
        <w:pStyle w:val="Heading3"/>
      </w:pPr>
      <w:r w:rsidRPr="00A61CF4">
        <w:t>S</w:t>
      </w:r>
      <w:r w:rsidR="00FB32A1">
        <w:t>imple Solar</w:t>
      </w:r>
    </w:p>
    <w:p w14:paraId="34B45E86" w14:textId="453AD1FE" w:rsidR="00D301AE" w:rsidRDefault="00D301AE">
      <w:r w:rsidRPr="00F678DF">
        <w:t xml:space="preserve">Georgia Power’s Simple Solar program was introduced and approved through the 2016 IRP. The program provides an option for all customers to support the growth of solar. Customers can participate by </w:t>
      </w:r>
      <w:r>
        <w:t>matching</w:t>
      </w:r>
      <w:r w:rsidRPr="00F678DF">
        <w:t xml:space="preserve"> either 50 or 100 percent of their monthly energy usage </w:t>
      </w:r>
      <w:r>
        <w:t xml:space="preserve">with RECs </w:t>
      </w:r>
      <w:r w:rsidRPr="00F678DF">
        <w:t>for an additional 1¢ per kWh. The Simple Solar program also provides a</w:t>
      </w:r>
      <w:r>
        <w:t xml:space="preserve"> </w:t>
      </w:r>
      <w:r w:rsidRPr="00F678DF">
        <w:t>cost-effective option</w:t>
      </w:r>
      <w:r w:rsidR="00655B3D">
        <w:t xml:space="preserve"> </w:t>
      </w:r>
      <w:r w:rsidRPr="00F678DF">
        <w:t xml:space="preserve">for large </w:t>
      </w:r>
      <w:r>
        <w:t>C&amp;I</w:t>
      </w:r>
      <w:r w:rsidRPr="00F678DF">
        <w:t xml:space="preserve"> customers interested in supporting solar through the Large Volume discounted pricing, based on their specific renewable energy needs. Currently, Large Volume pricing starts at </w:t>
      </w:r>
      <w:bookmarkStart w:id="175" w:name="_Hlk534621886"/>
      <w:r w:rsidR="00A63A7F" w:rsidRPr="00F678DF">
        <w:t>1¢ per kWh</w:t>
      </w:r>
      <w:bookmarkEnd w:id="175"/>
      <w:r w:rsidR="0084716A">
        <w:t>,</w:t>
      </w:r>
      <w:r w:rsidR="00810119">
        <w:t xml:space="preserve"> per month </w:t>
      </w:r>
      <w:r w:rsidR="00A63A7F" w:rsidRPr="00F678DF">
        <w:t>f</w:t>
      </w:r>
      <w:r w:rsidRPr="00F678DF">
        <w:t xml:space="preserve">or </w:t>
      </w:r>
      <w:r>
        <w:t xml:space="preserve">matching </w:t>
      </w:r>
      <w:r w:rsidRPr="00F678DF">
        <w:t>the first 50,000 kWh</w:t>
      </w:r>
      <w:r>
        <w:t xml:space="preserve"> of RECs</w:t>
      </w:r>
      <w:r w:rsidRPr="00F678DF">
        <w:t>; 0.8¢ per kWh, per month for the next 100,000 kWh</w:t>
      </w:r>
      <w:r w:rsidR="00245E2C">
        <w:t xml:space="preserve"> </w:t>
      </w:r>
      <w:r w:rsidRPr="00F678DF">
        <w:t>of RECs; 0.6¢ per kWh, per month for the next 200,000 kWh of RECs; and 0.5¢ per kWh, per month for all kWh</w:t>
      </w:r>
      <w:r>
        <w:t xml:space="preserve"> of RECs</w:t>
      </w:r>
      <w:r w:rsidRPr="00F678DF">
        <w:t xml:space="preserve"> exceeding that amount. As customer interest in the Simple Solar program continues to grow,</w:t>
      </w:r>
      <w:r>
        <w:t xml:space="preserve"> Georgia Power </w:t>
      </w:r>
      <w:r w:rsidR="00810119">
        <w:t xml:space="preserve">has </w:t>
      </w:r>
      <w:r>
        <w:t>identified</w:t>
      </w:r>
      <w:r w:rsidRPr="00F678DF">
        <w:t xml:space="preserve"> the need for greater flexibility for</w:t>
      </w:r>
      <w:r>
        <w:t xml:space="preserve"> its</w:t>
      </w:r>
      <w:r w:rsidRPr="00F678DF">
        <w:t xml:space="preserve"> large customers. </w:t>
      </w:r>
      <w:r>
        <w:t xml:space="preserve">The Company proposes to revise the Simple Solar </w:t>
      </w:r>
      <w:r w:rsidR="007869EA">
        <w:t>Tariff</w:t>
      </w:r>
      <w:r>
        <w:t xml:space="preserve"> Large Volume </w:t>
      </w:r>
      <w:r w:rsidR="00A63A7F">
        <w:t xml:space="preserve">Purchase Option </w:t>
      </w:r>
      <w:r>
        <w:t xml:space="preserve">pricing to change the 0.5¢ per kWh per month tier </w:t>
      </w:r>
      <w:r w:rsidR="000D1354">
        <w:t>for</w:t>
      </w:r>
      <w:r>
        <w:t xml:space="preserve"> the next 1,650,000 kWh of RECs and add a new additional pricing tier where all remaining kWh of RECs exceeding that amount to be priced at the current </w:t>
      </w:r>
      <w:r w:rsidR="000472B9">
        <w:t xml:space="preserve">REC market price offer </w:t>
      </w:r>
      <w:r>
        <w:t xml:space="preserve">at the time of contract. The additional market pricing tier is designed to continue </w:t>
      </w:r>
      <w:r w:rsidR="000D1354">
        <w:t xml:space="preserve">to collect the </w:t>
      </w:r>
      <w:r>
        <w:t>full administrative costs of the program while preserving the ability to offer more competitively-priced solar RECs for energy-intensive users</w:t>
      </w:r>
      <w:r w:rsidR="00655B3D">
        <w:t xml:space="preserve">. </w:t>
      </w:r>
      <w:r w:rsidRPr="00F678DF">
        <w:t>One-time purchases will also remain available under the Special Event Purchase Option.</w:t>
      </w:r>
    </w:p>
    <w:p w14:paraId="3C332700" w14:textId="1116B31A" w:rsidR="000472B9" w:rsidRDefault="000472B9" w:rsidP="000472B9">
      <w:pPr>
        <w:pStyle w:val="Heading3"/>
      </w:pPr>
      <w:r>
        <w:t>Behind</w:t>
      </w:r>
      <w:r w:rsidR="00A23ADE">
        <w:t>-</w:t>
      </w:r>
      <w:r>
        <w:t>the</w:t>
      </w:r>
      <w:r w:rsidR="00A23ADE">
        <w:t>-</w:t>
      </w:r>
      <w:r>
        <w:t>Meter Options</w:t>
      </w:r>
    </w:p>
    <w:p w14:paraId="116BED04" w14:textId="50D390E7" w:rsidR="000472B9" w:rsidRDefault="000472B9" w:rsidP="000472B9">
      <w:r>
        <w:t>T</w:t>
      </w:r>
      <w:r w:rsidRPr="00725095">
        <w:t>he Company will continue to offer analysis and support for all customers interested in installing customer</w:t>
      </w:r>
      <w:r>
        <w:t>-</w:t>
      </w:r>
      <w:r w:rsidRPr="00725095">
        <w:t>sited generation.</w:t>
      </w:r>
      <w:r>
        <w:t xml:space="preserve"> Customers will continue to have the option to sell renewable energy to Georgia Power </w:t>
      </w:r>
      <w:r w:rsidR="00686AA1">
        <w:t>as</w:t>
      </w:r>
      <w:r w:rsidR="00686AA1" w:rsidRPr="00725095">
        <w:t xml:space="preserve"> </w:t>
      </w:r>
      <w:r w:rsidRPr="00725095">
        <w:t>Qualifying Facilities (</w:t>
      </w:r>
      <w:r>
        <w:t>“</w:t>
      </w:r>
      <w:r w:rsidRPr="00725095">
        <w:t>QF</w:t>
      </w:r>
      <w:r>
        <w:t>”</w:t>
      </w:r>
      <w:r w:rsidRPr="00725095">
        <w:t>)</w:t>
      </w:r>
      <w:r w:rsidR="00443FD9">
        <w:t xml:space="preserve">. </w:t>
      </w:r>
      <w:r w:rsidR="00443FD9" w:rsidRPr="004F0446">
        <w:rPr>
          <w:rFonts w:eastAsia="Times New Roman"/>
        </w:rPr>
        <w:t xml:space="preserve">In addition, customers can sell the output of solar photovoltaic, fuel cell, or wind turbine distributed generation facilities through the RNR tariff. </w:t>
      </w:r>
      <w:r>
        <w:t xml:space="preserve">Georgia Power </w:t>
      </w:r>
      <w:r w:rsidRPr="004B3DCF">
        <w:t>has interconnec</w:t>
      </w:r>
      <w:r>
        <w:t>ted</w:t>
      </w:r>
      <w:r w:rsidRPr="004B3DCF">
        <w:t xml:space="preserve"> more than 2,000 solar projects</w:t>
      </w:r>
      <w:r>
        <w:t xml:space="preserve">, including </w:t>
      </w:r>
      <w:r w:rsidRPr="004B3DCF">
        <w:t xml:space="preserve">customers </w:t>
      </w:r>
      <w:r>
        <w:t xml:space="preserve">who choose </w:t>
      </w:r>
      <w:r w:rsidRPr="004B3DCF">
        <w:t xml:space="preserve">to offset energy usage </w:t>
      </w:r>
      <w:r>
        <w:t xml:space="preserve">with </w:t>
      </w:r>
      <w:r w:rsidRPr="004B3DCF">
        <w:t>behind</w:t>
      </w:r>
      <w:r w:rsidR="00A23ADE">
        <w:t>-</w:t>
      </w:r>
      <w:r>
        <w:t>the</w:t>
      </w:r>
      <w:r w:rsidR="00A23ADE">
        <w:t>-</w:t>
      </w:r>
      <w:r w:rsidRPr="004B3DCF">
        <w:t>meter</w:t>
      </w:r>
      <w:r>
        <w:t xml:space="preserve"> solar installations</w:t>
      </w:r>
      <w:r w:rsidR="00A23ADE">
        <w:t>,</w:t>
      </w:r>
      <w:r>
        <w:t xml:space="preserve"> through RNR or as a QF</w:t>
      </w:r>
      <w:r w:rsidRPr="004B3DCF">
        <w:t>.</w:t>
      </w:r>
      <w:r>
        <w:t xml:space="preserve"> As approved in the 2016 IRP, the Company </w:t>
      </w:r>
      <w:r w:rsidR="00443FD9">
        <w:t xml:space="preserve">is implementing the requirement to execute </w:t>
      </w:r>
      <w:r>
        <w:t xml:space="preserve">interconnection agreements for </w:t>
      </w:r>
      <w:r w:rsidR="00FE4ABE">
        <w:t>customers with DG installed on their premise</w:t>
      </w:r>
      <w:r w:rsidR="004F0446">
        <w:t>s</w:t>
      </w:r>
      <w:r w:rsidR="00FE4ABE">
        <w:t xml:space="preserve"> who choose not to participate in the Company’s programs</w:t>
      </w:r>
      <w:r>
        <w:t xml:space="preserve">. This requirement allows Georgia Power to accurately account for all generation connected to its infrastructure and ensure safety and reliability. </w:t>
      </w:r>
    </w:p>
    <w:p w14:paraId="05627933" w14:textId="7C6A8A63" w:rsidR="00D96962" w:rsidRPr="00A61CF4" w:rsidRDefault="00D96962" w:rsidP="00817EA7">
      <w:pPr>
        <w:pStyle w:val="Heading3"/>
      </w:pPr>
      <w:r w:rsidRPr="00A61CF4">
        <w:t>C</w:t>
      </w:r>
      <w:r w:rsidR="00FB32A1">
        <w:t>ustomer Engagement</w:t>
      </w:r>
    </w:p>
    <w:p w14:paraId="4019A6FD" w14:textId="0336BEC0" w:rsidR="00630571" w:rsidRDefault="006F60AB" w:rsidP="00630571">
      <w:r w:rsidRPr="004B3DCF">
        <w:t xml:space="preserve">Georgia Power seeks to add value to all customers </w:t>
      </w:r>
      <w:r>
        <w:t xml:space="preserve">by </w:t>
      </w:r>
      <w:r w:rsidRPr="004B3DCF">
        <w:t xml:space="preserve">providing </w:t>
      </w:r>
      <w:r w:rsidR="00630571">
        <w:t>industry-leading</w:t>
      </w:r>
      <w:r w:rsidR="00630571" w:rsidRPr="004B3DCF">
        <w:t xml:space="preserve"> </w:t>
      </w:r>
      <w:r w:rsidRPr="004B3DCF">
        <w:t xml:space="preserve">customer service </w:t>
      </w:r>
      <w:r>
        <w:t>related to renewable</w:t>
      </w:r>
      <w:r w:rsidRPr="004B3DCF">
        <w:t xml:space="preserve"> customer engagement activities. </w:t>
      </w:r>
      <w:r>
        <w:t xml:space="preserve">In late </w:t>
      </w:r>
      <w:r w:rsidRPr="004B3DCF">
        <w:t xml:space="preserve">2013, the Company created the Renewable Development department specifically to </w:t>
      </w:r>
      <w:r>
        <w:t xml:space="preserve">develop, </w:t>
      </w:r>
      <w:r w:rsidRPr="004B3DCF">
        <w:t xml:space="preserve">manage, and support renewable initiatives. As customer interest in solar </w:t>
      </w:r>
      <w:r>
        <w:t xml:space="preserve">and renewable options </w:t>
      </w:r>
      <w:r w:rsidRPr="004B3DCF">
        <w:t>continue</w:t>
      </w:r>
      <w:r w:rsidR="003B152C">
        <w:t>s</w:t>
      </w:r>
      <w:r w:rsidRPr="004B3DCF">
        <w:t xml:space="preserve"> to grow, the Company </w:t>
      </w:r>
      <w:r>
        <w:t xml:space="preserve">has </w:t>
      </w:r>
      <w:r w:rsidRPr="004B3DCF">
        <w:t>enhanced</w:t>
      </w:r>
      <w:r>
        <w:t xml:space="preserve"> its ability to provide </w:t>
      </w:r>
      <w:r w:rsidRPr="004B3DCF">
        <w:t xml:space="preserve">support and education to customers interested in </w:t>
      </w:r>
      <w:r>
        <w:t>renewable energy</w:t>
      </w:r>
      <w:r w:rsidRPr="004B3DCF">
        <w:t xml:space="preserve">. </w:t>
      </w:r>
      <w:r>
        <w:t>This customer support function seeks to deliver</w:t>
      </w:r>
      <w:r w:rsidRPr="004B3DCF">
        <w:t xml:space="preserve"> a cohesive education process for customers </w:t>
      </w:r>
      <w:r>
        <w:t>interested in</w:t>
      </w:r>
      <w:r w:rsidRPr="004B3DCF">
        <w:t xml:space="preserve"> solar. Once communication has been established, Georgia Power’s Renewable Development team provides </w:t>
      </w:r>
      <w:r>
        <w:t>comprehensive</w:t>
      </w:r>
      <w:r w:rsidRPr="004B3DCF">
        <w:t xml:space="preserve"> support for customers, including </w:t>
      </w:r>
      <w:r>
        <w:t>guidance on renewable</w:t>
      </w:r>
      <w:r w:rsidRPr="004B3DCF">
        <w:t xml:space="preserve"> program options, </w:t>
      </w:r>
      <w:r w:rsidR="00655B3D">
        <w:t xml:space="preserve">including Community Solar, </w:t>
      </w:r>
      <w:r w:rsidR="0092221C">
        <w:t>Simple Solar, and solar installation with buy-back programs</w:t>
      </w:r>
      <w:r w:rsidR="0092221C" w:rsidRPr="004B3DCF">
        <w:t xml:space="preserve">. </w:t>
      </w:r>
      <w:r w:rsidR="0092221C">
        <w:t xml:space="preserve">Upon request, customers can receive a solar installation cost estimate from independent solar installers or from Georgia Power’s unregulated business unit, Energy Services. </w:t>
      </w:r>
      <w:r w:rsidR="000472B9" w:rsidRPr="004B3DCF">
        <w:t>Renewable Development has fielded thousands of calls</w:t>
      </w:r>
      <w:r w:rsidR="000472B9">
        <w:t xml:space="preserve"> and emails</w:t>
      </w:r>
      <w:r w:rsidR="000472B9" w:rsidRPr="004B3DCF">
        <w:t xml:space="preserve"> from customers interested in </w:t>
      </w:r>
      <w:r w:rsidR="000472B9">
        <w:t xml:space="preserve">Georgia Power’s </w:t>
      </w:r>
      <w:r w:rsidR="000472B9" w:rsidRPr="004B3DCF">
        <w:t xml:space="preserve">solar </w:t>
      </w:r>
      <w:r w:rsidR="000472B9">
        <w:t>programs</w:t>
      </w:r>
      <w:r w:rsidR="000472B9" w:rsidRPr="004B3DCF">
        <w:t xml:space="preserve"> </w:t>
      </w:r>
      <w:r w:rsidR="000472B9">
        <w:t xml:space="preserve">and </w:t>
      </w:r>
      <w:r w:rsidR="000472B9" w:rsidRPr="004B3DCF">
        <w:t xml:space="preserve">has completed more than </w:t>
      </w:r>
      <w:r w:rsidR="000472B9">
        <w:t xml:space="preserve">1,700 </w:t>
      </w:r>
      <w:r w:rsidR="000472B9" w:rsidRPr="004B3DCF">
        <w:t>customized analys</w:t>
      </w:r>
      <w:r w:rsidR="000472B9">
        <w:t>e</w:t>
      </w:r>
      <w:r w:rsidR="000472B9" w:rsidRPr="004B3DCF">
        <w:t xml:space="preserve">s with guidance on </w:t>
      </w:r>
      <w:r w:rsidR="000472B9">
        <w:t xml:space="preserve">buy-back </w:t>
      </w:r>
      <w:r w:rsidR="000472B9" w:rsidRPr="004B3DCF">
        <w:t>program participation</w:t>
      </w:r>
      <w:r w:rsidR="000472B9">
        <w:t xml:space="preserve">. </w:t>
      </w:r>
      <w:r w:rsidR="000472B9" w:rsidRPr="004B3DCF">
        <w:t xml:space="preserve">Georgia Power’s Renewable Development </w:t>
      </w:r>
      <w:r w:rsidR="000472B9">
        <w:t>team is committed to providing accurate and useful information about various programs to help customers make their best solar decisions.</w:t>
      </w:r>
    </w:p>
    <w:p w14:paraId="071DCFD5" w14:textId="38363A63" w:rsidR="00E13DB5" w:rsidRDefault="00E83A7C" w:rsidP="00817EA7">
      <w:pPr>
        <w:pStyle w:val="Heading2"/>
      </w:pPr>
      <w:bookmarkStart w:id="176" w:name="_Toc536209148"/>
      <w:r>
        <w:t>Renewable Cost Benefit Framework</w:t>
      </w:r>
      <w:bookmarkEnd w:id="176"/>
    </w:p>
    <w:p w14:paraId="478EDE34" w14:textId="6D32689E" w:rsidR="00AB549D" w:rsidRDefault="009621C1" w:rsidP="00AB549D">
      <w:r>
        <w:t xml:space="preserve">An important principle underlying the growth of renewable energy at Georgia Power is to accurately calculate and apply appropriate costs and benefits created by the energy </w:t>
      </w:r>
      <w:r w:rsidR="006F60AB">
        <w:t xml:space="preserve">delivered by </w:t>
      </w:r>
      <w:r>
        <w:t>a renewable generator. The RCB</w:t>
      </w:r>
      <w:r w:rsidR="00CB43E2">
        <w:t xml:space="preserve"> Framework</w:t>
      </w:r>
      <w:r>
        <w:t xml:space="preserve"> is critical </w:t>
      </w:r>
      <w:r w:rsidR="000472B9">
        <w:t xml:space="preserve">to ensure </w:t>
      </w:r>
      <w:r>
        <w:t xml:space="preserve">fairness for </w:t>
      </w:r>
      <w:r w:rsidR="000D1354">
        <w:t xml:space="preserve">those </w:t>
      </w:r>
      <w:r>
        <w:t xml:space="preserve">generators and the customers for whom Georgia Power procures renewable energy. </w:t>
      </w:r>
      <w:r w:rsidR="00E83A7C" w:rsidRPr="0032100F">
        <w:t>The Company first filed</w:t>
      </w:r>
      <w:r w:rsidR="00D50DEC">
        <w:t xml:space="preserve"> the framework for determining the costs and benefits of renewable resources in Georgia </w:t>
      </w:r>
      <w:r w:rsidR="00E83A7C" w:rsidRPr="0032100F">
        <w:t>in its 2016 IRP. In December 2016, after extensive collaboration with Commission Staff to refine and clarify the RCB Framework, the Commission approved the</w:t>
      </w:r>
      <w:r w:rsidR="00CB43E2">
        <w:t xml:space="preserve"> Joint Recommendation for the</w:t>
      </w:r>
      <w:r w:rsidR="00E83A7C" w:rsidRPr="0032100F">
        <w:t xml:space="preserve"> continued implementation and application of </w:t>
      </w:r>
      <w:r w:rsidR="00AB549D" w:rsidRPr="0032100F">
        <w:t>the RCB Framework</w:t>
      </w:r>
      <w:r w:rsidR="00AB549D" w:rsidRPr="00BC0F39">
        <w:t>. </w:t>
      </w:r>
      <w:r w:rsidR="00343810" w:rsidRPr="00343810">
        <w:t xml:space="preserve">In June 2017, the Company received Commission approval to apply the RCB Framework to </w:t>
      </w:r>
      <w:r w:rsidR="00A23ADE">
        <w:t>b</w:t>
      </w:r>
      <w:r w:rsidR="00343810" w:rsidRPr="00343810">
        <w:t>ehind-the-</w:t>
      </w:r>
      <w:r w:rsidR="00A23ADE">
        <w:t>m</w:t>
      </w:r>
      <w:r w:rsidR="00343810" w:rsidRPr="00343810">
        <w:t xml:space="preserve">eter solar technologies, including, but not limited to, use in the determination of the RNR </w:t>
      </w:r>
      <w:r w:rsidR="00A23ADE">
        <w:t>t</w:t>
      </w:r>
      <w:r w:rsidR="00343810" w:rsidRPr="00343810">
        <w:t>ariff for solar technologies.</w:t>
      </w:r>
      <w:r w:rsidR="00680AEE">
        <w:t xml:space="preserve"> </w:t>
      </w:r>
      <w:r w:rsidR="00AB549D" w:rsidRPr="00BC0F39">
        <w:t xml:space="preserve">The Company </w:t>
      </w:r>
      <w:r w:rsidR="000472B9" w:rsidRPr="00BC0F39">
        <w:t>continue</w:t>
      </w:r>
      <w:r w:rsidR="000472B9">
        <w:t>s</w:t>
      </w:r>
      <w:r w:rsidR="000472B9" w:rsidRPr="00BC0F39">
        <w:t xml:space="preserve"> </w:t>
      </w:r>
      <w:r w:rsidR="005816CC">
        <w:t>to apply</w:t>
      </w:r>
      <w:r w:rsidR="00AB549D" w:rsidRPr="00BC0F39">
        <w:t xml:space="preserve"> the RCB Framework to the evaluation of renewable projects and pricing for programs offered in the 2019 IRP. As the RCB Framework is a living document, the Company has </w:t>
      </w:r>
      <w:r w:rsidR="000D1354" w:rsidRPr="00BC0F39">
        <w:t xml:space="preserve">made </w:t>
      </w:r>
      <w:r w:rsidR="00AB549D" w:rsidRPr="00BC0F39">
        <w:t xml:space="preserve">several improvements to the RCB Framework </w:t>
      </w:r>
      <w:r w:rsidR="00AB549D">
        <w:t xml:space="preserve">document </w:t>
      </w:r>
      <w:r w:rsidR="00AB549D" w:rsidRPr="00463D87">
        <w:t>in the 2019 IRP</w:t>
      </w:r>
      <w:r w:rsidR="00A23ADE">
        <w:t xml:space="preserve"> to provide additional clarity as needed, consolidate and simplify where appropriate, and to document the history of the RCB Framework since the 2016 IRP.</w:t>
      </w:r>
      <w:r w:rsidR="00AB549D" w:rsidRPr="00463D87">
        <w:t> The Company has moved one component from “Placeholder” status to “Exclude” status and no new components are recommended for inclusion in the RCB Framework</w:t>
      </w:r>
      <w:r w:rsidR="00630571">
        <w:t xml:space="preserve"> at this time</w:t>
      </w:r>
      <w:r w:rsidR="00680AEE">
        <w:t xml:space="preserve">. </w:t>
      </w:r>
      <w:bookmarkStart w:id="177" w:name="_Hlk533018846"/>
      <w:r w:rsidR="00AB549D" w:rsidRPr="00463D87">
        <w:t>In addition to the RCB Framework document, the Company has filed three additional documents</w:t>
      </w:r>
      <w:r w:rsidR="00245E2C">
        <w:t xml:space="preserve"> – </w:t>
      </w:r>
      <w:r w:rsidR="00AB549D" w:rsidRPr="00463D87">
        <w:t>“The Costs and Benefits of Distribut</w:t>
      </w:r>
      <w:r w:rsidR="00A63A7F">
        <w:t>ed Solar Generation in Georgia,”</w:t>
      </w:r>
      <w:r w:rsidR="00AB549D" w:rsidRPr="00463D87">
        <w:t xml:space="preserve"> “The Costs and Benefits of Utility Scale Fixed Ti</w:t>
      </w:r>
      <w:r w:rsidR="00A63A7F">
        <w:t>lt Solar Generation in Georgia,”</w:t>
      </w:r>
      <w:r w:rsidR="00AB549D" w:rsidRPr="00463D87">
        <w:t xml:space="preserve"> and “The Costs and Benefits of Fixed and Variable Wind Delivered to Georgia”</w:t>
      </w:r>
      <w:r w:rsidR="00245E2C">
        <w:t xml:space="preserve"> – </w:t>
      </w:r>
      <w:r w:rsidR="00AB549D" w:rsidRPr="00463D87">
        <w:t>which provide illustrative quantifications of the costs and benefits</w:t>
      </w:r>
      <w:r w:rsidR="00622A13">
        <w:t xml:space="preserve"> (excluding acquisition costs)</w:t>
      </w:r>
      <w:r w:rsidR="00AB549D" w:rsidRPr="00463D87">
        <w:t xml:space="preserve"> of such technologies on a per kWh basis under</w:t>
      </w:r>
      <w:r w:rsidR="00AB549D" w:rsidRPr="00E83A7C">
        <w:t xml:space="preserve"> certain specified scenarios</w:t>
      </w:r>
      <w:bookmarkEnd w:id="177"/>
      <w:r w:rsidR="00AB549D" w:rsidRPr="00E83A7C">
        <w:t>.</w:t>
      </w:r>
      <w:r w:rsidR="00706B94" w:rsidRPr="00706B94">
        <w:t xml:space="preserve"> </w:t>
      </w:r>
      <w:r w:rsidR="00706B94">
        <w:t>The RCB</w:t>
      </w:r>
      <w:r w:rsidR="002D51E5">
        <w:t xml:space="preserve"> Framework</w:t>
      </w:r>
      <w:r w:rsidR="00706B94">
        <w:t>, and the supporting documents are included as part of the 2019 IRP</w:t>
      </w:r>
      <w:r w:rsidR="00250C81">
        <w:t xml:space="preserve"> in Technical Appendix Volume 2</w:t>
      </w:r>
      <w:r w:rsidR="00706B94">
        <w:t>.</w:t>
      </w:r>
    </w:p>
    <w:p w14:paraId="28D1DDB1" w14:textId="2ADA814D" w:rsidR="00D96962" w:rsidRPr="00A61CF4" w:rsidRDefault="00FB32A1" w:rsidP="00817EA7">
      <w:pPr>
        <w:pStyle w:val="Heading2"/>
      </w:pPr>
      <w:bookmarkStart w:id="178" w:name="_Toc536209149"/>
      <w:r>
        <w:t>Update on</w:t>
      </w:r>
      <w:r w:rsidR="00BB7AC8">
        <w:t xml:space="preserve"> 2016 IRP</w:t>
      </w:r>
      <w:r>
        <w:t xml:space="preserve"> Initiatives</w:t>
      </w:r>
      <w:bookmarkEnd w:id="178"/>
    </w:p>
    <w:p w14:paraId="2359313C" w14:textId="7A042197" w:rsidR="00706B94" w:rsidRPr="00F678DF" w:rsidRDefault="00706B94" w:rsidP="00706B94">
      <w:r w:rsidRPr="00F678DF">
        <w:t xml:space="preserve">The Company </w:t>
      </w:r>
      <w:r>
        <w:t>continues to implement</w:t>
      </w:r>
      <w:r w:rsidRPr="00F678DF">
        <w:t xml:space="preserve"> </w:t>
      </w:r>
      <w:r>
        <w:t xml:space="preserve">industry leading renewable </w:t>
      </w:r>
      <w:r w:rsidRPr="00F678DF">
        <w:t xml:space="preserve">programs and initiatives </w:t>
      </w:r>
      <w:r>
        <w:t xml:space="preserve">as </w:t>
      </w:r>
      <w:r w:rsidRPr="00F678DF">
        <w:t>approved in previous IRPs</w:t>
      </w:r>
      <w:r>
        <w:t xml:space="preserve">, </w:t>
      </w:r>
      <w:r w:rsidRPr="00F678DF">
        <w:t xml:space="preserve">due in large part to the </w:t>
      </w:r>
      <w:r>
        <w:t>leadership of</w:t>
      </w:r>
      <w:r w:rsidRPr="00F678DF">
        <w:t xml:space="preserve"> the </w:t>
      </w:r>
      <w:r>
        <w:t>Commission</w:t>
      </w:r>
      <w:r w:rsidRPr="00F678DF">
        <w:t xml:space="preserve"> and</w:t>
      </w:r>
      <w:r>
        <w:t xml:space="preserve"> the constructive collaboration with</w:t>
      </w:r>
      <w:r w:rsidRPr="00F678DF">
        <w:t xml:space="preserve"> industry stakeholders. Georgia Power </w:t>
      </w:r>
      <w:r w:rsidR="000472B9">
        <w:t xml:space="preserve">seeks to </w:t>
      </w:r>
      <w:r w:rsidRPr="00F678DF">
        <w:t xml:space="preserve">improve the design and implementation efficiency of programs with each phase of development to deliver maximum benefit to all customers and stakeholders. </w:t>
      </w:r>
    </w:p>
    <w:p w14:paraId="5B4948EB" w14:textId="52541FEB" w:rsidR="00D96962" w:rsidRPr="00E13DB5" w:rsidRDefault="00D96962" w:rsidP="00817EA7">
      <w:pPr>
        <w:pStyle w:val="Heading3"/>
      </w:pPr>
      <w:r w:rsidRPr="00E13DB5">
        <w:t>REDI U</w:t>
      </w:r>
      <w:r w:rsidR="00FB32A1" w:rsidRPr="00E13DB5">
        <w:t>tility</w:t>
      </w:r>
      <w:r w:rsidR="00991BED">
        <w:t>-</w:t>
      </w:r>
      <w:r w:rsidR="00FB32A1" w:rsidRPr="00E13DB5">
        <w:t>Scale Procurement</w:t>
      </w:r>
    </w:p>
    <w:p w14:paraId="55DFBF9B" w14:textId="0B898C61" w:rsidR="00B87506" w:rsidRDefault="00B87506">
      <w:r w:rsidRPr="00F678DF">
        <w:t xml:space="preserve">As approved by the </w:t>
      </w:r>
      <w:r>
        <w:t>Commission,</w:t>
      </w:r>
      <w:r w:rsidRPr="00F678DF">
        <w:t xml:space="preserve"> the</w:t>
      </w:r>
      <w:r>
        <w:t xml:space="preserve"> REDI</w:t>
      </w:r>
      <w:r w:rsidRPr="00F678DF">
        <w:t xml:space="preserve"> Utility</w:t>
      </w:r>
      <w:r>
        <w:t>-</w:t>
      </w:r>
      <w:r w:rsidRPr="00F678DF">
        <w:t>Scale procurement</w:t>
      </w:r>
      <w:r>
        <w:t xml:space="preserve"> of renewable energy from</w:t>
      </w:r>
      <w:r w:rsidRPr="00F678DF">
        <w:t xml:space="preserve"> 1,050 MW of </w:t>
      </w:r>
      <w:r>
        <w:t>capacity</w:t>
      </w:r>
      <w:r w:rsidRPr="00F678DF">
        <w:t xml:space="preserve"> was split into two separate </w:t>
      </w:r>
      <w:r>
        <w:t>RFPs</w:t>
      </w:r>
      <w:r w:rsidRPr="00F678DF">
        <w:t xml:space="preserve">, each seeking 525 MW of renewable resources greater than 3 MW. The first phase of the solicitation </w:t>
      </w:r>
      <w:r>
        <w:t>was issued</w:t>
      </w:r>
      <w:r w:rsidRPr="00F678DF">
        <w:t xml:space="preserve"> in 2017, and the second</w:t>
      </w:r>
      <w:r>
        <w:t xml:space="preserve"> phase</w:t>
      </w:r>
      <w:r w:rsidRPr="00F678DF">
        <w:t xml:space="preserve"> is currently underway. All resources procured through </w:t>
      </w:r>
      <w:r>
        <w:t>these</w:t>
      </w:r>
      <w:r w:rsidRPr="00F678DF">
        <w:t xml:space="preserve"> solicitations must be </w:t>
      </w:r>
      <w:r>
        <w:t xml:space="preserve">acquired </w:t>
      </w:r>
      <w:r w:rsidRPr="00F678DF">
        <w:t>at</w:t>
      </w:r>
      <w:r>
        <w:t xml:space="preserve"> prices </w:t>
      </w:r>
      <w:r w:rsidRPr="00F678DF">
        <w:t>below the Company’s long-term</w:t>
      </w:r>
      <w:r>
        <w:t xml:space="preserve"> projected</w:t>
      </w:r>
      <w:r w:rsidRPr="00F678DF">
        <w:t xml:space="preserve"> avoided cost</w:t>
      </w:r>
      <w:r>
        <w:t>s</w:t>
      </w:r>
      <w:r w:rsidRPr="00F678DF">
        <w:t xml:space="preserve">. The </w:t>
      </w:r>
      <w:r>
        <w:t>first</w:t>
      </w:r>
      <w:r w:rsidRPr="00F678DF">
        <w:t xml:space="preserve"> RFP</w:t>
      </w:r>
      <w:r w:rsidR="003A3875">
        <w:t xml:space="preserve"> </w:t>
      </w:r>
      <w:r w:rsidRPr="00F678DF">
        <w:t xml:space="preserve">required projects to achieve </w:t>
      </w:r>
      <w:r>
        <w:t>commercial operation in 2018 or 2019</w:t>
      </w:r>
      <w:r w:rsidRPr="00F678DF">
        <w:t xml:space="preserve">. From this solicitation, Georgia Power entered into 30-year PPAs with </w:t>
      </w:r>
      <w:r>
        <w:t>three</w:t>
      </w:r>
      <w:r w:rsidRPr="00F678DF">
        <w:t xml:space="preserve"> suppliers for a total of 510 MW of in-state solar capacity, with an average price of 3.6¢/kWh. </w:t>
      </w:r>
      <w:r>
        <w:t>T</w:t>
      </w:r>
      <w:r w:rsidRPr="00F678DF">
        <w:t xml:space="preserve">his solicitation was an “all source” request for any </w:t>
      </w:r>
      <w:r>
        <w:t>eligible</w:t>
      </w:r>
      <w:r w:rsidRPr="00F678DF">
        <w:t xml:space="preserve"> renewable resource</w:t>
      </w:r>
      <w:r w:rsidR="00630571">
        <w:t xml:space="preserve">, including </w:t>
      </w:r>
      <w:r w:rsidRPr="00F678DF">
        <w:t>renewable</w:t>
      </w:r>
      <w:r>
        <w:t xml:space="preserve"> resources</w:t>
      </w:r>
      <w:r w:rsidRPr="00F678DF">
        <w:t xml:space="preserve"> coupled </w:t>
      </w:r>
      <w:r w:rsidR="000472B9">
        <w:t xml:space="preserve">with energy </w:t>
      </w:r>
      <w:r w:rsidR="000472B9" w:rsidRPr="00F678DF">
        <w:t>storage</w:t>
      </w:r>
      <w:r>
        <w:t>; h</w:t>
      </w:r>
      <w:r w:rsidRPr="00F678DF">
        <w:t xml:space="preserve">owever, the resources </w:t>
      </w:r>
      <w:r>
        <w:t xml:space="preserve">that provide the most value to customers </w:t>
      </w:r>
      <w:r w:rsidRPr="00F678DF">
        <w:t>proved to be in-state solar facilities</w:t>
      </w:r>
      <w:r w:rsidR="000472B9">
        <w:t xml:space="preserve"> without storage</w:t>
      </w:r>
      <w:r w:rsidRPr="00F678DF">
        <w:t>. Following</w:t>
      </w:r>
      <w:r>
        <w:t xml:space="preserve"> the</w:t>
      </w:r>
      <w:r w:rsidRPr="00F678DF">
        <w:t xml:space="preserve"> </w:t>
      </w:r>
      <w:r>
        <w:t>2018/2019 REDI RFP</w:t>
      </w:r>
      <w:r w:rsidRPr="00F678DF">
        <w:t xml:space="preserve">, Georgia Power </w:t>
      </w:r>
      <w:r>
        <w:t>carried forward</w:t>
      </w:r>
      <w:r w:rsidRPr="00F678DF">
        <w:t xml:space="preserve"> the remaining 15 MW of capacity to the </w:t>
      </w:r>
      <w:r>
        <w:t>2020/2021</w:t>
      </w:r>
      <w:r w:rsidRPr="00F678DF">
        <w:t xml:space="preserve"> REDI RFP, bringing the </w:t>
      </w:r>
      <w:r>
        <w:t xml:space="preserve">target for the </w:t>
      </w:r>
      <w:r w:rsidRPr="00F678DF">
        <w:t>second utility</w:t>
      </w:r>
      <w:r>
        <w:t>-</w:t>
      </w:r>
      <w:r w:rsidRPr="00F678DF">
        <w:t>scale solicitation to 540 MW. The second solicitation bid period was</w:t>
      </w:r>
      <w:r>
        <w:t xml:space="preserve"> open</w:t>
      </w:r>
      <w:r w:rsidRPr="00F678DF">
        <w:t xml:space="preserve"> from Dec</w:t>
      </w:r>
      <w:r>
        <w:t>ember</w:t>
      </w:r>
      <w:r w:rsidRPr="00F678DF">
        <w:t xml:space="preserve"> 10, 2018 through Jan</w:t>
      </w:r>
      <w:r>
        <w:t>uary</w:t>
      </w:r>
      <w:r w:rsidRPr="00F678DF">
        <w:t xml:space="preserve"> 15, 2019 and requires facilities to achieve commercial operation in 2020 or 2021. </w:t>
      </w:r>
      <w:r w:rsidR="007B36A3">
        <w:t>The Company has started the bid evaluation process.</w:t>
      </w:r>
    </w:p>
    <w:p w14:paraId="302CC722" w14:textId="771CD568" w:rsidR="00D96962" w:rsidRPr="00A61CF4" w:rsidRDefault="00E13DB5" w:rsidP="00817EA7">
      <w:pPr>
        <w:pStyle w:val="Heading3"/>
      </w:pPr>
      <w:r>
        <w:t>C&amp;I REDI</w:t>
      </w:r>
    </w:p>
    <w:p w14:paraId="29DC758D" w14:textId="693CFF44" w:rsidR="00706B94" w:rsidRPr="00F678DF" w:rsidRDefault="00706B94" w:rsidP="00706B94">
      <w:r w:rsidRPr="00F678DF">
        <w:t xml:space="preserve">In order to supply the </w:t>
      </w:r>
      <w:r>
        <w:t xml:space="preserve">C&amp;I </w:t>
      </w:r>
      <w:r w:rsidRPr="00F678DF">
        <w:t xml:space="preserve">REDI Program, Georgia Power </w:t>
      </w:r>
      <w:r>
        <w:t xml:space="preserve">utilized </w:t>
      </w:r>
      <w:r w:rsidRPr="00F678DF">
        <w:t>the</w:t>
      </w:r>
      <w:r>
        <w:t xml:space="preserve"> existing</w:t>
      </w:r>
      <w:r w:rsidRPr="00F678DF">
        <w:t xml:space="preserve"> bids </w:t>
      </w:r>
      <w:r>
        <w:t>from the Reserve List of the</w:t>
      </w:r>
      <w:r w:rsidRPr="00F678DF">
        <w:t xml:space="preserve"> </w:t>
      </w:r>
      <w:r>
        <w:t>2018/2019</w:t>
      </w:r>
      <w:r w:rsidRPr="00F678DF">
        <w:t xml:space="preserve"> REDI Utility</w:t>
      </w:r>
      <w:r w:rsidR="00991BED">
        <w:t>-</w:t>
      </w:r>
      <w:r w:rsidRPr="00F678DF">
        <w:t>Scale</w:t>
      </w:r>
      <w:r>
        <w:t xml:space="preserve"> RFP</w:t>
      </w:r>
      <w:r w:rsidRPr="00F678DF">
        <w:t>. That process yielded</w:t>
      </w:r>
      <w:r>
        <w:t xml:space="preserve"> additional</w:t>
      </w:r>
      <w:r w:rsidRPr="00F678DF">
        <w:t xml:space="preserve"> PPAs with two providers, totaling 177.5 MW. </w:t>
      </w:r>
      <w:r w:rsidR="000472B9">
        <w:t xml:space="preserve">Customers interested in </w:t>
      </w:r>
      <w:r w:rsidR="000472B9" w:rsidRPr="00F678DF">
        <w:t>participat</w:t>
      </w:r>
      <w:r w:rsidR="000472B9">
        <w:t>ing</w:t>
      </w:r>
      <w:r w:rsidR="000472B9" w:rsidRPr="00F678DF">
        <w:t xml:space="preserve"> in the program</w:t>
      </w:r>
      <w:r w:rsidR="000472B9">
        <w:t xml:space="preserve"> </w:t>
      </w:r>
      <w:r w:rsidR="000472B9" w:rsidRPr="00F678DF">
        <w:t xml:space="preserve">were required to provide a NOI indicating the amount of program capacity </w:t>
      </w:r>
      <w:r w:rsidR="000472B9">
        <w:t xml:space="preserve">for which </w:t>
      </w:r>
      <w:r w:rsidR="000472B9" w:rsidRPr="00F678DF">
        <w:t>they would like to contract. As a result of the NOI process</w:t>
      </w:r>
      <w:r w:rsidR="000472B9">
        <w:t>,</w:t>
      </w:r>
      <w:r w:rsidR="000472B9" w:rsidRPr="00F678DF">
        <w:t xml:space="preserve"> four customers expressed interest for more than 400 MW of capacity, which exceeded the program supply</w:t>
      </w:r>
      <w:r w:rsidR="000472B9">
        <w:t xml:space="preserve"> target amount of up to 200 MW</w:t>
      </w:r>
      <w:r w:rsidR="000472B9" w:rsidRPr="00F678DF">
        <w:t>.</w:t>
      </w:r>
      <w:r w:rsidRPr="00F678DF">
        <w:t xml:space="preserve"> Ultimately, Georgia Power entered into C&amp;I</w:t>
      </w:r>
      <w:r>
        <w:t xml:space="preserve"> REDI Customer Agreements</w:t>
      </w:r>
      <w:r w:rsidRPr="00F678DF">
        <w:t xml:space="preserve"> for the </w:t>
      </w:r>
      <w:r>
        <w:t xml:space="preserve">pro rata </w:t>
      </w:r>
      <w:r w:rsidRPr="00F678DF">
        <w:t xml:space="preserve">portion of the program capacity that each participant </w:t>
      </w:r>
      <w:r>
        <w:t>requested</w:t>
      </w:r>
      <w:r w:rsidRPr="00F678DF">
        <w:t xml:space="preserve"> through the NOI process. The facilities to supply this program </w:t>
      </w:r>
      <w:r>
        <w:t>are scheduled to</w:t>
      </w:r>
      <w:r w:rsidRPr="00F678DF">
        <w:t xml:space="preserve"> come online in 2019 and 2020. </w:t>
      </w:r>
    </w:p>
    <w:p w14:paraId="65A1DC99" w14:textId="0AA6DCAD" w:rsidR="00D96962" w:rsidRPr="00A61CF4" w:rsidRDefault="00D96962" w:rsidP="00817EA7">
      <w:pPr>
        <w:pStyle w:val="Heading3"/>
      </w:pPr>
      <w:r w:rsidRPr="00A61CF4">
        <w:t>REDI C</w:t>
      </w:r>
      <w:r w:rsidR="00FB32A1">
        <w:t>ustomer</w:t>
      </w:r>
      <w:r w:rsidR="00716A2D">
        <w:t>-</w:t>
      </w:r>
      <w:r w:rsidR="00FB32A1">
        <w:t>Sited DG</w:t>
      </w:r>
    </w:p>
    <w:p w14:paraId="3D909051" w14:textId="6FFF3D9B" w:rsidR="00706B94" w:rsidRPr="00E13DB5" w:rsidRDefault="00706B94" w:rsidP="00706B94">
      <w:r w:rsidRPr="00F678DF">
        <w:t>As approved in the 2016 IRP</w:t>
      </w:r>
      <w:r>
        <w:t>,</w:t>
      </w:r>
      <w:r w:rsidRPr="00F678DF">
        <w:t xml:space="preserve"> the REDI Customer</w:t>
      </w:r>
      <w:r w:rsidR="00716A2D">
        <w:t>-</w:t>
      </w:r>
      <w:r w:rsidRPr="00F678DF">
        <w:t xml:space="preserve">Sited DG program sought to fulfill a 50 MW portfolio of DG solar resources, which was combined with the remaining unsubscribed MW from the previous </w:t>
      </w:r>
      <w:r w:rsidR="00B87506">
        <w:t>ASI</w:t>
      </w:r>
      <w:r w:rsidR="005816CC">
        <w:t xml:space="preserve"> DG</w:t>
      </w:r>
      <w:r w:rsidRPr="00F678DF">
        <w:t xml:space="preserve"> </w:t>
      </w:r>
      <w:r>
        <w:t xml:space="preserve">and </w:t>
      </w:r>
      <w:r w:rsidR="00B87506">
        <w:t>ASI</w:t>
      </w:r>
      <w:r>
        <w:t xml:space="preserve"> </w:t>
      </w:r>
      <w:r w:rsidRPr="00F678DF">
        <w:t>Prime</w:t>
      </w:r>
      <w:r w:rsidR="005816CC">
        <w:t xml:space="preserve"> DG</w:t>
      </w:r>
      <w:r w:rsidRPr="00F678DF">
        <w:t xml:space="preserve"> solicitation</w:t>
      </w:r>
      <w:r>
        <w:t>s for a total target of 61.62 MW</w:t>
      </w:r>
      <w:r w:rsidRPr="00F678DF">
        <w:t xml:space="preserve">. </w:t>
      </w:r>
      <w:r>
        <w:t xml:space="preserve">Eligible </w:t>
      </w:r>
      <w:r w:rsidRPr="00F678DF">
        <w:t>DG resources were to be</w:t>
      </w:r>
      <w:r>
        <w:t xml:space="preserve"> sized</w:t>
      </w:r>
      <w:r w:rsidRPr="00F678DF">
        <w:t xml:space="preserve"> </w:t>
      </w:r>
      <w:r>
        <w:t>greater than 1 kW up</w:t>
      </w:r>
      <w:r w:rsidRPr="00F678DF">
        <w:t xml:space="preserve"> to</w:t>
      </w:r>
      <w:r w:rsidR="00B87506">
        <w:t xml:space="preserve"> and including</w:t>
      </w:r>
      <w:r w:rsidRPr="00F678DF">
        <w:t xml:space="preserve"> 3 MW</w:t>
      </w:r>
      <w:r>
        <w:t xml:space="preserve"> DC</w:t>
      </w:r>
      <w:r w:rsidRPr="00F678DF">
        <w:t xml:space="preserve"> and to be </w:t>
      </w:r>
      <w:r>
        <w:t xml:space="preserve">sited </w:t>
      </w:r>
      <w:r w:rsidRPr="00F678DF">
        <w:t>on or adjacent to</w:t>
      </w:r>
      <w:r>
        <w:t xml:space="preserve"> an</w:t>
      </w:r>
      <w:r w:rsidRPr="00F678DF">
        <w:t xml:space="preserve"> existing customer</w:t>
      </w:r>
      <w:r>
        <w:t>’</w:t>
      </w:r>
      <w:r w:rsidRPr="00F678DF">
        <w:t>s premises. The application period was open from Nov</w:t>
      </w:r>
      <w:r>
        <w:t>ember</w:t>
      </w:r>
      <w:r w:rsidRPr="00F678DF">
        <w:t xml:space="preserve"> 1 through Nov</w:t>
      </w:r>
      <w:r>
        <w:t>ember</w:t>
      </w:r>
      <w:r w:rsidRPr="00F678DF">
        <w:t xml:space="preserve"> 30, 2017 and yielded more than </w:t>
      </w:r>
      <w:r w:rsidR="000472B9">
        <w:t xml:space="preserve">151 MW from 143 </w:t>
      </w:r>
      <w:r>
        <w:t xml:space="preserve">applications. Georgia Power evaluated more than </w:t>
      </w:r>
      <w:r w:rsidRPr="00F678DF">
        <w:t>80 MW of projects for the Selection List.</w:t>
      </w:r>
      <w:r>
        <w:t xml:space="preserve"> </w:t>
      </w:r>
      <w:r w:rsidRPr="00F678DF">
        <w:t xml:space="preserve">These projects subsequently went through a more detailed analysis in which the Company evaluated the </w:t>
      </w:r>
      <w:r>
        <w:t xml:space="preserve">interconnection requirements before </w:t>
      </w:r>
      <w:r w:rsidR="000472B9">
        <w:t xml:space="preserve">offering </w:t>
      </w:r>
      <w:r>
        <w:t>contracts</w:t>
      </w:r>
      <w:r w:rsidRPr="00F678DF">
        <w:t xml:space="preserve">. </w:t>
      </w:r>
      <w:r>
        <w:t>Since that time, several developers have withdrawn projects from the program for a variety of reasons, even after the PPAs had been executed. Some of t</w:t>
      </w:r>
      <w:r w:rsidRPr="00F678DF">
        <w:t>he REDI C</w:t>
      </w:r>
      <w:r>
        <w:t>ustomer</w:t>
      </w:r>
      <w:r w:rsidR="00716A2D">
        <w:t>-</w:t>
      </w:r>
      <w:r w:rsidRPr="00F678DF">
        <w:t>S</w:t>
      </w:r>
      <w:r>
        <w:t>ited</w:t>
      </w:r>
      <w:r w:rsidRPr="00F678DF">
        <w:t xml:space="preserve"> DG program</w:t>
      </w:r>
      <w:r>
        <w:t xml:space="preserve"> projects are still under construction, and the current program </w:t>
      </w:r>
      <w:r w:rsidRPr="00F678DF">
        <w:t xml:space="preserve">yield </w:t>
      </w:r>
      <w:r>
        <w:t xml:space="preserve">is </w:t>
      </w:r>
      <w:r w:rsidRPr="00F678DF">
        <w:t>approximately 4</w:t>
      </w:r>
      <w:r>
        <w:t>7.</w:t>
      </w:r>
      <w:r w:rsidR="000472B9">
        <w:t xml:space="preserve">91 </w:t>
      </w:r>
      <w:r w:rsidR="000D1354">
        <w:t xml:space="preserve">MW from </w:t>
      </w:r>
      <w:r w:rsidRPr="00F678DF">
        <w:t xml:space="preserve">34 projects. </w:t>
      </w:r>
    </w:p>
    <w:p w14:paraId="46BA03C5" w14:textId="77777777" w:rsidR="00B87506" w:rsidRPr="00A61CF4" w:rsidRDefault="00B87506" w:rsidP="00B87506">
      <w:pPr>
        <w:pStyle w:val="Heading3"/>
      </w:pPr>
      <w:r w:rsidRPr="00A61CF4">
        <w:t>REDI DG RFP</w:t>
      </w:r>
    </w:p>
    <w:p w14:paraId="23FA248D" w14:textId="5B7046AF" w:rsidR="00630571" w:rsidRDefault="0092221C" w:rsidP="00630571">
      <w:r>
        <w:t xml:space="preserve">As part of the 2016 IRP, the Commission approved the REDI DG RFP which sought to procure energy from 100 MW of </w:t>
      </w:r>
      <w:r w:rsidR="004F1557">
        <w:t>solar</w:t>
      </w:r>
      <w:r>
        <w:t xml:space="preserve"> resources. The 100 MW were combined with the remaining unsubscribed capacity from </w:t>
      </w:r>
      <w:r w:rsidR="00630571">
        <w:t xml:space="preserve">previous DG solicitations for a target of </w:t>
      </w:r>
      <w:r w:rsidR="000472B9">
        <w:t xml:space="preserve">approximately 113 </w:t>
      </w:r>
      <w:r w:rsidR="00630571">
        <w:t>MW</w:t>
      </w:r>
      <w:r w:rsidR="00630571" w:rsidRPr="00F678DF">
        <w:t xml:space="preserve">. </w:t>
      </w:r>
      <w:r w:rsidR="00630571">
        <w:t xml:space="preserve">This innovative program used competitive bidding from </w:t>
      </w:r>
      <w:r w:rsidR="00630571" w:rsidRPr="00F678DF">
        <w:t>solar facilities from 1 kW up to and including 3 MW</w:t>
      </w:r>
      <w:r w:rsidR="00630571">
        <w:t xml:space="preserve"> AC</w:t>
      </w:r>
      <w:r w:rsidR="00630571" w:rsidRPr="00F678DF">
        <w:t xml:space="preserve"> in size</w:t>
      </w:r>
      <w:r w:rsidR="00630571">
        <w:t>. The facilities</w:t>
      </w:r>
      <w:r w:rsidR="00630571" w:rsidRPr="00F678DF">
        <w:t xml:space="preserve"> </w:t>
      </w:r>
      <w:r w:rsidR="000472B9">
        <w:t xml:space="preserve">are </w:t>
      </w:r>
      <w:r w:rsidR="00630571" w:rsidRPr="00F678DF">
        <w:t>required</w:t>
      </w:r>
      <w:r w:rsidR="00630571">
        <w:t xml:space="preserve"> to achieve</w:t>
      </w:r>
      <w:r w:rsidR="00630571" w:rsidRPr="00F678DF">
        <w:t xml:space="preserve"> mechanical completion in 2019. Bid pricing for the</w:t>
      </w:r>
      <w:r w:rsidR="00630571">
        <w:t xml:space="preserve"> REDI</w:t>
      </w:r>
      <w:r w:rsidR="00630571" w:rsidRPr="00F678DF">
        <w:t xml:space="preserve"> DG </w:t>
      </w:r>
      <w:r w:rsidR="00630571">
        <w:t>RFP</w:t>
      </w:r>
      <w:r w:rsidR="00630571" w:rsidRPr="00F678DF">
        <w:t>, which include</w:t>
      </w:r>
      <w:r w:rsidR="00630571">
        <w:t>d</w:t>
      </w:r>
      <w:r w:rsidR="00630571" w:rsidRPr="00F678DF">
        <w:t xml:space="preserve"> the price for the solar output plus the project’s interconnection cost, could not exceed the Company’s long-term </w:t>
      </w:r>
      <w:r w:rsidR="00630571">
        <w:t>p</w:t>
      </w:r>
      <w:r w:rsidR="00630571" w:rsidRPr="00F678DF">
        <w:t xml:space="preserve">rojected </w:t>
      </w:r>
      <w:r w:rsidR="00630571">
        <w:t>a</w:t>
      </w:r>
      <w:r w:rsidR="00630571" w:rsidRPr="00F678DF">
        <w:t xml:space="preserve">voided </w:t>
      </w:r>
      <w:r w:rsidR="00630571">
        <w:t>c</w:t>
      </w:r>
      <w:r w:rsidR="00630571" w:rsidRPr="00F678DF">
        <w:t xml:space="preserve">ost. The results of this solicitation </w:t>
      </w:r>
      <w:r w:rsidR="00630571">
        <w:t>are</w:t>
      </w:r>
      <w:r w:rsidR="00630571" w:rsidRPr="00F678DF">
        <w:t xml:space="preserve"> still being analyzed at the time of this filing and will be shared with the Commiss</w:t>
      </w:r>
      <w:r w:rsidR="00630571">
        <w:t>ion as soon as practicable.</w:t>
      </w:r>
    </w:p>
    <w:p w14:paraId="437CB2F7" w14:textId="77777777" w:rsidR="000472B9" w:rsidRDefault="000472B9" w:rsidP="000472B9">
      <w:pPr>
        <w:pStyle w:val="Heading3"/>
      </w:pPr>
      <w:r>
        <w:t>Simple Solar Program</w:t>
      </w:r>
    </w:p>
    <w:p w14:paraId="21EA7477" w14:textId="013716CF" w:rsidR="000472B9" w:rsidRPr="0020116C" w:rsidRDefault="000472B9" w:rsidP="00194E27">
      <w:r w:rsidRPr="0020116C">
        <w:rPr>
          <w:rFonts w:cs="Arial"/>
        </w:rPr>
        <w:t xml:space="preserve">As discussed in greater detail in section 8.2 above, Georgia Power’s Simple Solar program was approved in the 2016 IRP. This program is </w:t>
      </w:r>
      <w:r w:rsidRPr="00A23ADE">
        <w:rPr>
          <w:rFonts w:cs="Arial"/>
        </w:rPr>
        <w:t xml:space="preserve">designed to allow all customers to support </w:t>
      </w:r>
      <w:r w:rsidRPr="0020116C">
        <w:rPr>
          <w:rFonts w:cs="Arial"/>
        </w:rPr>
        <w:t>and foster the growth of solar energy by enabling Georgia Power to purchase and retire REC</w:t>
      </w:r>
      <w:r w:rsidR="00B22165">
        <w:rPr>
          <w:rFonts w:cs="Arial"/>
        </w:rPr>
        <w:t>s</w:t>
      </w:r>
      <w:r w:rsidRPr="0020116C">
        <w:rPr>
          <w:rFonts w:cs="Arial"/>
        </w:rPr>
        <w:t xml:space="preserve"> generated from solar energy resources. As of January 2019, there are 1,172 customers enrolled in the program. In 2018, customers purchased 57,734,464 kWh of RECs. Georgia Power will continue employing a broad range of marketing efforts to create additional awareness and increased participation in 2019.</w:t>
      </w:r>
    </w:p>
    <w:p w14:paraId="3A82BEB1" w14:textId="77777777" w:rsidR="000472B9" w:rsidRDefault="000472B9" w:rsidP="000472B9">
      <w:pPr>
        <w:pStyle w:val="Heading3"/>
      </w:pPr>
      <w:r>
        <w:t>Community Solar Program</w:t>
      </w:r>
    </w:p>
    <w:p w14:paraId="44DA4E63" w14:textId="19D07EF5" w:rsidR="000472B9" w:rsidRPr="004D1B32" w:rsidRDefault="000472B9" w:rsidP="00194E27">
      <w:r>
        <w:rPr>
          <w:rFonts w:eastAsia="Times New Roman" w:cs="Arial"/>
          <w:bCs/>
        </w:rPr>
        <w:t>The development of a</w:t>
      </w:r>
      <w:r w:rsidRPr="004D1B32">
        <w:rPr>
          <w:rFonts w:eastAsia="Times New Roman" w:cs="Arial"/>
          <w:bCs/>
        </w:rPr>
        <w:t xml:space="preserve"> </w:t>
      </w:r>
      <w:r>
        <w:rPr>
          <w:rFonts w:eastAsia="Times New Roman" w:cs="Arial"/>
          <w:bCs/>
        </w:rPr>
        <w:t xml:space="preserve">3 MW </w:t>
      </w:r>
      <w:r w:rsidRPr="004D1B32">
        <w:rPr>
          <w:rFonts w:eastAsia="Times New Roman" w:cs="Arial"/>
          <w:bCs/>
        </w:rPr>
        <w:t xml:space="preserve">Community Solar </w:t>
      </w:r>
      <w:r>
        <w:rPr>
          <w:rFonts w:eastAsia="Times New Roman" w:cs="Arial"/>
          <w:bCs/>
        </w:rPr>
        <w:t>p</w:t>
      </w:r>
      <w:r w:rsidRPr="004D1B32">
        <w:rPr>
          <w:rFonts w:eastAsia="Times New Roman" w:cs="Arial"/>
          <w:bCs/>
        </w:rPr>
        <w:t>rogram</w:t>
      </w:r>
      <w:r>
        <w:rPr>
          <w:rFonts w:eastAsia="Times New Roman" w:cs="Arial"/>
          <w:bCs/>
        </w:rPr>
        <w:t xml:space="preserve"> was approved through the 2016 IRP.</w:t>
      </w:r>
      <w:r w:rsidRPr="004D1B32">
        <w:rPr>
          <w:rFonts w:eastAsia="Times New Roman" w:cs="Arial"/>
          <w:bCs/>
        </w:rPr>
        <w:t> </w:t>
      </w:r>
      <w:r w:rsidR="00217097">
        <w:rPr>
          <w:rFonts w:eastAsia="Times New Roman" w:cs="Arial"/>
          <w:bCs/>
        </w:rPr>
        <w:t>Following the 17</w:t>
      </w:r>
      <w:r w:rsidR="00217097" w:rsidRPr="00D1479E">
        <w:rPr>
          <w:rFonts w:eastAsia="Times New Roman" w:cs="Arial"/>
          <w:bCs/>
          <w:vertAlign w:val="superscript"/>
        </w:rPr>
        <w:t>th</w:t>
      </w:r>
      <w:r w:rsidR="00217097">
        <w:rPr>
          <w:rFonts w:eastAsia="Times New Roman" w:cs="Arial"/>
          <w:bCs/>
        </w:rPr>
        <w:t xml:space="preserve"> Vogtle Construction Monitoring (“VCM”) </w:t>
      </w:r>
      <w:r w:rsidR="004F1557">
        <w:rPr>
          <w:rFonts w:eastAsia="Times New Roman" w:cs="Arial"/>
          <w:bCs/>
        </w:rPr>
        <w:t>proceeding</w:t>
      </w:r>
      <w:r w:rsidR="00217097">
        <w:rPr>
          <w:rFonts w:eastAsia="Times New Roman" w:cs="Arial"/>
          <w:bCs/>
        </w:rPr>
        <w:t>, t</w:t>
      </w:r>
      <w:r>
        <w:rPr>
          <w:rFonts w:eastAsia="Times New Roman" w:cs="Arial"/>
          <w:bCs/>
        </w:rPr>
        <w:t xml:space="preserve">his program was expanded to include an additional 5 MW, creating a total of 8 MW of program capacity. The Community Solar program </w:t>
      </w:r>
      <w:r w:rsidRPr="004D1B32">
        <w:rPr>
          <w:rFonts w:eastAsia="Times New Roman" w:cs="Arial"/>
          <w:bCs/>
        </w:rPr>
        <w:t>is designed to provide residential customers an opportunity to purchas</w:t>
      </w:r>
      <w:r>
        <w:rPr>
          <w:rFonts w:eastAsia="Times New Roman" w:cs="Arial"/>
          <w:bCs/>
        </w:rPr>
        <w:t>e</w:t>
      </w:r>
      <w:r w:rsidRPr="004D1B32">
        <w:rPr>
          <w:rFonts w:eastAsia="Times New Roman" w:cs="Arial"/>
          <w:bCs/>
        </w:rPr>
        <w:t xml:space="preserve"> a monthly subscription</w:t>
      </w:r>
      <w:r>
        <w:rPr>
          <w:rFonts w:eastAsia="Times New Roman" w:cs="Arial"/>
          <w:bCs/>
        </w:rPr>
        <w:t>,</w:t>
      </w:r>
      <w:r w:rsidRPr="004D1B32">
        <w:rPr>
          <w:rFonts w:eastAsia="Times New Roman" w:cs="Arial"/>
          <w:bCs/>
        </w:rPr>
        <w:t xml:space="preserve"> in exchange for receiving a bill credit based on the solar facilities' production.</w:t>
      </w:r>
      <w:r>
        <w:rPr>
          <w:rFonts w:eastAsia="Times New Roman" w:cs="Arial"/>
          <w:bCs/>
        </w:rPr>
        <w:t xml:space="preserve"> Subscriptions are purchased in 1 kW block increments. Currently, the Company has developed 2 MW of supply from the Comer Community Solar Facility and anticipates the remaining 6 MW of supply to be online and available for subscription in 2019. Currently, </w:t>
      </w:r>
      <w:r w:rsidRPr="004D1B32">
        <w:rPr>
          <w:rFonts w:eastAsia="Times New Roman" w:cs="Arial"/>
          <w:bCs/>
        </w:rPr>
        <w:t>1,472 blocks out of the 2,000 blocks available are subscribed, representing 850 unique customers. Georgia Power will continue employing a broad range of marketing efforts to create additional awareness and increased participation</w:t>
      </w:r>
      <w:r>
        <w:rPr>
          <w:rFonts w:eastAsia="Times New Roman" w:cs="Arial"/>
          <w:bCs/>
        </w:rPr>
        <w:t xml:space="preserve"> </w:t>
      </w:r>
      <w:r w:rsidRPr="004D1B32">
        <w:rPr>
          <w:rFonts w:eastAsia="Times New Roman" w:cs="Arial"/>
          <w:bCs/>
        </w:rPr>
        <w:t xml:space="preserve">to coincide with </w:t>
      </w:r>
      <w:r>
        <w:rPr>
          <w:rFonts w:eastAsia="Times New Roman" w:cs="Arial"/>
          <w:bCs/>
        </w:rPr>
        <w:t xml:space="preserve">commercial operation of </w:t>
      </w:r>
      <w:r w:rsidRPr="004D1B32">
        <w:rPr>
          <w:rFonts w:eastAsia="Times New Roman" w:cs="Arial"/>
          <w:bCs/>
        </w:rPr>
        <w:t>the new facilities this year.</w:t>
      </w:r>
    </w:p>
    <w:p w14:paraId="2F4A104D" w14:textId="0695F037" w:rsidR="000D1354" w:rsidRPr="00A61CF4" w:rsidRDefault="000D1354" w:rsidP="000D1354">
      <w:pPr>
        <w:pStyle w:val="Heading3"/>
      </w:pPr>
      <w:r>
        <w:t>Self</w:t>
      </w:r>
      <w:r w:rsidR="003631A0">
        <w:t>-</w:t>
      </w:r>
      <w:r>
        <w:t>Build Renewable Projects</w:t>
      </w:r>
    </w:p>
    <w:p w14:paraId="47602F17" w14:textId="478F0E01" w:rsidR="000D1354" w:rsidRDefault="000D1354" w:rsidP="000D1354">
      <w:r>
        <w:t xml:space="preserve">As approved in the 2016 IRP, the Company is developing </w:t>
      </w:r>
      <w:r w:rsidR="003631A0">
        <w:t>self-build</w:t>
      </w:r>
      <w:r>
        <w:t xml:space="preserve"> solar assets at Robins and Moody AFB, Georgia College and State University, </w:t>
      </w:r>
      <w:r w:rsidR="00BF1FE2">
        <w:t>and F</w:t>
      </w:r>
      <w:r w:rsidR="00217097">
        <w:t>ort</w:t>
      </w:r>
      <w:r w:rsidR="00BF1FE2">
        <w:t xml:space="preserve"> Valley St</w:t>
      </w:r>
      <w:r w:rsidR="00217097">
        <w:t>ate</w:t>
      </w:r>
      <w:r w:rsidR="00BF1FE2">
        <w:t xml:space="preserve"> University. </w:t>
      </w:r>
      <w:r>
        <w:t>Additionally, the Company is developing an 8 MW portfolio of solar to supply the Community Solar Program</w:t>
      </w:r>
      <w:r w:rsidR="00217097">
        <w:t xml:space="preserve"> as described above</w:t>
      </w:r>
      <w:r>
        <w:t xml:space="preserve">. </w:t>
      </w:r>
      <w:bookmarkStart w:id="179" w:name="_Hlk535344053"/>
      <w:r>
        <w:t xml:space="preserve">Approved </w:t>
      </w:r>
      <w:r w:rsidR="00EC4D21">
        <w:t>self-b</w:t>
      </w:r>
      <w:r>
        <w:t xml:space="preserve">uild capacity </w:t>
      </w:r>
      <w:r w:rsidR="000472B9">
        <w:t xml:space="preserve">of approximately 15 </w:t>
      </w:r>
      <w:r>
        <w:t>MW remains uncommitted, and the Company continues to pursue the development of this capacity at viable locations in Georgia.</w:t>
      </w:r>
    </w:p>
    <w:p w14:paraId="5D76DC71" w14:textId="0992098C" w:rsidR="00E13DB5" w:rsidRDefault="003D03F0" w:rsidP="00817EA7">
      <w:pPr>
        <w:pStyle w:val="Heading2"/>
        <w:rPr>
          <w:rFonts w:eastAsia="Times New Roman"/>
        </w:rPr>
      </w:pPr>
      <w:bookmarkStart w:id="180" w:name="_Toc536209150"/>
      <w:bookmarkEnd w:id="179"/>
      <w:r>
        <w:rPr>
          <w:rFonts w:eastAsia="Times New Roman"/>
        </w:rPr>
        <w:t xml:space="preserve">Update on Demonstration Projects </w:t>
      </w:r>
      <w:r w:rsidR="00B87506">
        <w:rPr>
          <w:rFonts w:eastAsia="Times New Roman"/>
        </w:rPr>
        <w:t xml:space="preserve">Under </w:t>
      </w:r>
      <w:r w:rsidR="0092221C">
        <w:rPr>
          <w:rFonts w:eastAsia="Times New Roman"/>
        </w:rPr>
        <w:t>Development</w:t>
      </w:r>
      <w:bookmarkEnd w:id="180"/>
    </w:p>
    <w:p w14:paraId="0A84783D" w14:textId="41CF00B2" w:rsidR="00630571" w:rsidRPr="00F844A6" w:rsidRDefault="00630571" w:rsidP="00630571">
      <w:pPr>
        <w:rPr>
          <w:b/>
        </w:rPr>
      </w:pPr>
      <w:r>
        <w:t xml:space="preserve">The Company remains committed to research and development </w:t>
      </w:r>
      <w:r w:rsidR="007130DF">
        <w:t xml:space="preserve">(“R&amp;D”) </w:t>
      </w:r>
      <w:r>
        <w:t xml:space="preserve">while assessing the overall market opportunities for deployment of new renewable resources. As such, the Company conducts meaningful demonstration projects that increase </w:t>
      </w:r>
      <w:r w:rsidR="00D1479E">
        <w:t>its</w:t>
      </w:r>
      <w:r>
        <w:t xml:space="preserve"> understanding of changing renewable technologies and applications. </w:t>
      </w:r>
    </w:p>
    <w:p w14:paraId="27425F84" w14:textId="50834C44" w:rsidR="000D1354" w:rsidRPr="000A145D" w:rsidRDefault="000D1354" w:rsidP="000D1354">
      <w:pPr>
        <w:pStyle w:val="Heading3"/>
        <w:rPr>
          <w:rFonts w:eastAsia="Arial Narrow"/>
        </w:rPr>
      </w:pPr>
      <w:r w:rsidRPr="000A145D">
        <w:rPr>
          <w:rFonts w:eastAsia="Arial Narrow"/>
        </w:rPr>
        <w:t>High Wind</w:t>
      </w:r>
      <w:r>
        <w:rPr>
          <w:rFonts w:eastAsia="Arial Narrow"/>
        </w:rPr>
        <w:t xml:space="preserve"> Study</w:t>
      </w:r>
      <w:r w:rsidRPr="000A145D">
        <w:rPr>
          <w:rFonts w:eastAsia="Arial Narrow"/>
        </w:rPr>
        <w:t xml:space="preserve"> </w:t>
      </w:r>
    </w:p>
    <w:p w14:paraId="75396041" w14:textId="72984DB9" w:rsidR="00EC4D21" w:rsidRDefault="00EC4D21" w:rsidP="00EC4D21">
      <w:pPr>
        <w:spacing w:after="160"/>
        <w:rPr>
          <w:rFonts w:ascii="Calibri" w:hAnsi="Calibri"/>
          <w:color w:val="auto"/>
        </w:rPr>
      </w:pPr>
      <w:r>
        <w:t xml:space="preserve">The High Wind </w:t>
      </w:r>
      <w:r w:rsidR="000472B9">
        <w:t>d</w:t>
      </w:r>
      <w:r>
        <w:t xml:space="preserve">emonstration project approved in the 2016 IRP allows the Company to further study the potential for higher hub height wind resources in Georgia through the purchase, siting, and installation of wind measurement instrumentation that will monitor high elevation wind data at multiple locations. Thus far, the Company has procured components, identified locations for the installation of Windcube v2 LiDAR Remote Sensor wind measuring devices, and deployed the devices at the identified locations. Currently, Georgia Power is </w:t>
      </w:r>
      <w:r w:rsidR="0092221C">
        <w:t xml:space="preserve">gathering </w:t>
      </w:r>
      <w:r w:rsidR="007B36A3">
        <w:t>information</w:t>
      </w:r>
      <w:r w:rsidR="0092221C">
        <w:t xml:space="preserve"> </w:t>
      </w:r>
      <w:r>
        <w:t>to measure wind potential. Details on this demonstration project are provided to the Commission through regular, quarterly reports.</w:t>
      </w:r>
    </w:p>
    <w:p w14:paraId="059702EA" w14:textId="0040FB51" w:rsidR="00E13DB5" w:rsidRPr="000A145D" w:rsidRDefault="00E13DB5" w:rsidP="00EC4D21">
      <w:pPr>
        <w:pStyle w:val="Heading3"/>
        <w:rPr>
          <w:rFonts w:eastAsia="Arial Narrow"/>
        </w:rPr>
      </w:pPr>
      <w:r w:rsidRPr="000A145D">
        <w:rPr>
          <w:rFonts w:eastAsia="Arial Narrow"/>
        </w:rPr>
        <w:t>Closed Ash Pond Solar</w:t>
      </w:r>
    </w:p>
    <w:p w14:paraId="331E2F00" w14:textId="628BCF4D" w:rsidR="005816CC" w:rsidRDefault="005816CC" w:rsidP="00DB425F">
      <w:pPr>
        <w:spacing w:after="160"/>
      </w:pPr>
      <w:r>
        <w:t>In the 2016 IRP, the Commission approved the development of up to 10 MW of solar generation at Company-owned coal-fired generating facilities</w:t>
      </w:r>
      <w:r w:rsidRPr="00D14A6C">
        <w:t>.</w:t>
      </w:r>
      <w:r>
        <w:t xml:space="preserve"> The scope includes evaluation of different technologies, including traditional and non-traditional racking systems. The output of the project</w:t>
      </w:r>
      <w:r w:rsidR="00B87506">
        <w:t>(s)</w:t>
      </w:r>
      <w:r>
        <w:t xml:space="preserve"> will be interconnected to the site’s existing infrastructure</w:t>
      </w:r>
      <w:r w:rsidRPr="00D14A6C">
        <w:t xml:space="preserve"> and will serve Georgia Power customers.</w:t>
      </w:r>
      <w:r>
        <w:t xml:space="preserve"> The project</w:t>
      </w:r>
      <w:r w:rsidR="00B87506">
        <w:t>(s)</w:t>
      </w:r>
      <w:r>
        <w:t xml:space="preserve">, pending </w:t>
      </w:r>
      <w:r w:rsidR="003D4C64">
        <w:t>Georgia Environmental Protection Division (“</w:t>
      </w:r>
      <w:r>
        <w:t>EPD</w:t>
      </w:r>
      <w:r w:rsidR="003D4C64">
        <w:t xml:space="preserve">”) </w:t>
      </w:r>
      <w:r>
        <w:t xml:space="preserve">approval, </w:t>
      </w:r>
      <w:r w:rsidRPr="00D14A6C">
        <w:t xml:space="preserve">will provide the Company with a hands-on, detailed understanding of </w:t>
      </w:r>
      <w:r w:rsidR="00816179">
        <w:t>the requirements</w:t>
      </w:r>
      <w:r w:rsidRPr="00D14A6C">
        <w:t xml:space="preserve"> to permit and build solar generation facilities on closed solid waste</w:t>
      </w:r>
      <w:r w:rsidR="00B87506">
        <w:t xml:space="preserve"> sites, remediated </w:t>
      </w:r>
      <w:r w:rsidR="00A35B07">
        <w:t xml:space="preserve">sites, </w:t>
      </w:r>
      <w:r w:rsidR="00A35B07" w:rsidRPr="00D14A6C">
        <w:t>and</w:t>
      </w:r>
      <w:r w:rsidRPr="00D14A6C">
        <w:t xml:space="preserve">/or underdeveloped plant properties. </w:t>
      </w:r>
    </w:p>
    <w:p w14:paraId="0E52FB4D" w14:textId="70515837" w:rsidR="00913EC4" w:rsidRDefault="005816CC" w:rsidP="0087329A">
      <w:pPr>
        <w:rPr>
          <w:rFonts w:eastAsia="Arial" w:cs="Times New Roman"/>
          <w:color w:val="4D4D4D"/>
        </w:rPr>
      </w:pPr>
      <w:r>
        <w:t xml:space="preserve">The Company </w:t>
      </w:r>
      <w:r w:rsidR="007B36A3">
        <w:t xml:space="preserve">plans for </w:t>
      </w:r>
      <w:r>
        <w:t xml:space="preserve">these projects be located at closed ash ponds at Plant McDonough and Plant Hammond, with preliminary </w:t>
      </w:r>
      <w:r w:rsidR="00343810">
        <w:t>plans</w:t>
      </w:r>
      <w:r>
        <w:t xml:space="preserve"> included as part of the </w:t>
      </w:r>
      <w:r w:rsidR="00343810">
        <w:t xml:space="preserve">ash </w:t>
      </w:r>
      <w:r>
        <w:t xml:space="preserve">pond closure permits, which are currently under review by the </w:t>
      </w:r>
      <w:r w:rsidR="00EC4D21">
        <w:t xml:space="preserve">Georgia </w:t>
      </w:r>
      <w:r>
        <w:t xml:space="preserve">EPD. </w:t>
      </w:r>
      <w:r w:rsidRPr="0069599F">
        <w:t xml:space="preserve">At the time of this filing, project expenditures have been minimal </w:t>
      </w:r>
      <w:r w:rsidR="00816179">
        <w:t>as</w:t>
      </w:r>
      <w:r>
        <w:t xml:space="preserve"> permitting is not yet complete.</w:t>
      </w:r>
      <w:r w:rsidRPr="0069599F">
        <w:t> The Company will continue its efforts</w:t>
      </w:r>
      <w:r>
        <w:t xml:space="preserve"> to obtain permits for these facilities and, with EPD regulatory approval, </w:t>
      </w:r>
      <w:r w:rsidR="004153CC">
        <w:t xml:space="preserve">proceed with </w:t>
      </w:r>
      <w:r>
        <w:t>siting, infrastructure, and design</w:t>
      </w:r>
      <w:r w:rsidRPr="0069599F">
        <w:t xml:space="preserve"> </w:t>
      </w:r>
      <w:r w:rsidRPr="00D14A6C">
        <w:t>plans for the project</w:t>
      </w:r>
      <w:r>
        <w:t>.</w:t>
      </w:r>
      <w:r w:rsidR="00913EC4">
        <w:t xml:space="preserve"> In addition, the Company is deploying an initial 38 kW installation at Plant McDonough which is expected to be operational in early 2019.</w:t>
      </w:r>
      <w:r w:rsidR="00913EC4" w:rsidRPr="00C2319A">
        <w:rPr>
          <w:rFonts w:eastAsia="Arial" w:cs="Times New Roman"/>
          <w:color w:val="4D4D4D"/>
        </w:rPr>
        <w:t xml:space="preserve"> </w:t>
      </w:r>
      <w:r w:rsidR="00913EC4" w:rsidRPr="007C5CC7">
        <w:rPr>
          <w:rFonts w:eastAsia="Arial" w:cs="Times New Roman"/>
          <w:color w:val="4D4D4D"/>
        </w:rPr>
        <w:t>Th</w:t>
      </w:r>
      <w:r w:rsidR="00913EC4">
        <w:rPr>
          <w:rFonts w:eastAsia="Arial" w:cs="Times New Roman"/>
          <w:color w:val="4D4D4D"/>
        </w:rPr>
        <w:t xml:space="preserve">is pilot project is specifically </w:t>
      </w:r>
      <w:r w:rsidR="00913EC4" w:rsidRPr="007C5CC7">
        <w:rPr>
          <w:rFonts w:eastAsia="Arial" w:cs="Times New Roman"/>
          <w:color w:val="4D4D4D"/>
        </w:rPr>
        <w:t>testing</w:t>
      </w:r>
      <w:r w:rsidR="00913EC4">
        <w:rPr>
          <w:rFonts w:eastAsia="Arial" w:cs="Times New Roman"/>
          <w:color w:val="4D4D4D"/>
        </w:rPr>
        <w:t xml:space="preserve"> ash pond closure</w:t>
      </w:r>
      <w:r w:rsidR="00913EC4" w:rsidRPr="007C5CC7">
        <w:rPr>
          <w:rFonts w:eastAsia="Arial" w:cs="Times New Roman"/>
          <w:color w:val="4D4D4D"/>
        </w:rPr>
        <w:t xml:space="preserve"> cover systems that could su</w:t>
      </w:r>
      <w:r w:rsidR="00913EC4">
        <w:rPr>
          <w:rFonts w:eastAsia="Arial" w:cs="Times New Roman"/>
          <w:color w:val="4D4D4D"/>
        </w:rPr>
        <w:t>bstantially</w:t>
      </w:r>
      <w:r w:rsidR="00913EC4" w:rsidRPr="007C5CC7">
        <w:rPr>
          <w:rFonts w:eastAsia="Arial" w:cs="Times New Roman"/>
          <w:color w:val="4D4D4D"/>
        </w:rPr>
        <w:t xml:space="preserve"> increase the closed ash pond acreage available for </w:t>
      </w:r>
      <w:r w:rsidR="00B9370A">
        <w:rPr>
          <w:rFonts w:eastAsia="Arial" w:cs="Times New Roman"/>
          <w:color w:val="4D4D4D"/>
        </w:rPr>
        <w:t>photovoltaic (“</w:t>
      </w:r>
      <w:r w:rsidR="00913EC4" w:rsidRPr="007C5CC7">
        <w:rPr>
          <w:rFonts w:eastAsia="Arial" w:cs="Times New Roman"/>
          <w:color w:val="4D4D4D"/>
        </w:rPr>
        <w:t>PV</w:t>
      </w:r>
      <w:r w:rsidR="00B9370A">
        <w:rPr>
          <w:rFonts w:eastAsia="Arial" w:cs="Times New Roman"/>
          <w:color w:val="4D4D4D"/>
        </w:rPr>
        <w:t>”)</w:t>
      </w:r>
      <w:r w:rsidR="00913EC4" w:rsidRPr="007C5CC7">
        <w:rPr>
          <w:rFonts w:eastAsia="Arial" w:cs="Times New Roman"/>
          <w:color w:val="4D4D4D"/>
        </w:rPr>
        <w:t xml:space="preserve"> installations. </w:t>
      </w:r>
      <w:r w:rsidR="00913EC4">
        <w:rPr>
          <w:rFonts w:eastAsia="Arial" w:cs="Times New Roman"/>
          <w:color w:val="4D4D4D"/>
        </w:rPr>
        <w:t xml:space="preserve">The Company will monitor the performance of the ash pond closure cover system </w:t>
      </w:r>
      <w:r w:rsidR="00816179">
        <w:rPr>
          <w:rFonts w:eastAsia="Arial" w:cs="Times New Roman"/>
          <w:color w:val="4D4D4D"/>
        </w:rPr>
        <w:t xml:space="preserve">and report to the Commission the </w:t>
      </w:r>
      <w:r w:rsidR="00913EC4">
        <w:rPr>
          <w:rFonts w:eastAsia="Arial" w:cs="Times New Roman"/>
          <w:color w:val="4D4D4D"/>
        </w:rPr>
        <w:t>results and potential inclusion in future solar generation development on ash ponds.</w:t>
      </w:r>
    </w:p>
    <w:p w14:paraId="191E3022" w14:textId="77777777" w:rsidR="00EC4D21" w:rsidRDefault="00913EC4" w:rsidP="00442A83">
      <w:pPr>
        <w:pStyle w:val="Heading3"/>
        <w:rPr>
          <w:rFonts w:eastAsia="Arial"/>
        </w:rPr>
      </w:pPr>
      <w:r>
        <w:rPr>
          <w:rFonts w:eastAsia="Arial"/>
        </w:rPr>
        <w:t>Right of Way Solar</w:t>
      </w:r>
    </w:p>
    <w:p w14:paraId="0D222539" w14:textId="5D35A20A" w:rsidR="00EC4D21" w:rsidRDefault="002C556B" w:rsidP="00EC4D21">
      <w:pPr>
        <w:rPr>
          <w:rFonts w:ascii="Calibri" w:hAnsi="Calibri"/>
          <w:color w:val="auto"/>
        </w:rPr>
      </w:pPr>
      <w:r>
        <w:t xml:space="preserve">In the 2016 IRP Final Order, the Commission required </w:t>
      </w:r>
      <w:r w:rsidR="000472B9">
        <w:t xml:space="preserve">Georgia Power to commence a </w:t>
      </w:r>
      <w:r w:rsidR="00EC4D21">
        <w:t>fixed-tilt demonstration project to be located in the interstate right-of-way along Interstate 85, in partnership with MZC Foundation (d/b/a “The Ray”) and the Georgia Department of Transportation (“GDOT”). Georgia Power has worked with the project partners to develop a</w:t>
      </w:r>
      <w:r w:rsidR="00442A83">
        <w:t>n</w:t>
      </w:r>
      <w:r w:rsidR="00EC4D21">
        <w:t xml:space="preserve"> 800</w:t>
      </w:r>
      <w:r w:rsidR="00442A83">
        <w:t xml:space="preserve"> </w:t>
      </w:r>
      <w:r w:rsidR="00EC4D21">
        <w:t>k</w:t>
      </w:r>
      <w:r w:rsidR="00442A83">
        <w:t>W A</w:t>
      </w:r>
      <w:r w:rsidR="00EC4D21">
        <w:t xml:space="preserve">C solar generation facility located at </w:t>
      </w:r>
      <w:r w:rsidR="00CE3259">
        <w:t xml:space="preserve">the intersection of Highway 27 and </w:t>
      </w:r>
      <w:r w:rsidR="00EC4D21">
        <w:t xml:space="preserve">Interstate 85. Georgia Power has contracted with an EPC provider, which is </w:t>
      </w:r>
      <w:r w:rsidR="00816179">
        <w:t xml:space="preserve">currently </w:t>
      </w:r>
      <w:r w:rsidR="00EC4D21">
        <w:t xml:space="preserve">completing the construction engineering package. Additionally, </w:t>
      </w:r>
      <w:r w:rsidR="00CE3259">
        <w:t xml:space="preserve">the </w:t>
      </w:r>
      <w:r w:rsidR="00EC4D21">
        <w:t xml:space="preserve">Company </w:t>
      </w:r>
      <w:r w:rsidR="00CE3259">
        <w:t xml:space="preserve">is </w:t>
      </w:r>
      <w:r w:rsidR="00EC4D21">
        <w:t>in the process of obtaining the appropriate permits and agreements from GDOT and the Federal Highway Administration to gain full site control and proceed with construction of the facility. The Company anticipates that the project will achieve the require</w:t>
      </w:r>
      <w:r w:rsidR="00CE3259">
        <w:t>d</w:t>
      </w:r>
      <w:r w:rsidR="00EC4D21">
        <w:t xml:space="preserve"> </w:t>
      </w:r>
      <w:r w:rsidR="00705CD1">
        <w:t>COD</w:t>
      </w:r>
      <w:r w:rsidR="00442A83">
        <w:t xml:space="preserve"> of </w:t>
      </w:r>
      <w:r w:rsidR="00217097">
        <w:t>December 31, 2019</w:t>
      </w:r>
      <w:r w:rsidR="00442A83">
        <w:t>.</w:t>
      </w:r>
    </w:p>
    <w:p w14:paraId="7EDB4246" w14:textId="71FAA849" w:rsidR="001043BA" w:rsidRPr="00913EC4" w:rsidRDefault="00EC4D21" w:rsidP="00EC4D21">
      <w:pPr>
        <w:rPr>
          <w:rFonts w:eastAsia="Arial" w:cs="Times New Roman"/>
          <w:color w:val="4D4D4D"/>
        </w:rPr>
      </w:pPr>
      <w:r w:rsidRPr="00A61CF4">
        <w:rPr>
          <w:rFonts w:asciiTheme="minorHAnsi" w:hAnsiTheme="minorHAnsi" w:cstheme="minorHAnsi"/>
        </w:rPr>
        <w:t xml:space="preserve"> </w:t>
      </w:r>
      <w:r w:rsidR="001043BA" w:rsidRPr="00A61CF4">
        <w:rPr>
          <w:rFonts w:asciiTheme="minorHAnsi" w:hAnsiTheme="minorHAnsi" w:cstheme="minorHAnsi"/>
        </w:rPr>
        <w:br w:type="page"/>
      </w:r>
    </w:p>
    <w:p w14:paraId="0EA920AF" w14:textId="0FDAB12A" w:rsidR="00C36ADC" w:rsidRDefault="00C4509C" w:rsidP="006549EE">
      <w:pPr>
        <w:pStyle w:val="Heading1"/>
      </w:pPr>
      <w:bookmarkStart w:id="181" w:name="_Ref527048130"/>
      <w:bookmarkStart w:id="182" w:name="_Toc536209151"/>
      <w:bookmarkStart w:id="183" w:name="_Hlk531589193"/>
      <w:r>
        <w:t>HYDRO</w:t>
      </w:r>
      <w:r w:rsidR="0087005E">
        <w:t>ELECTRIC</w:t>
      </w:r>
      <w:bookmarkEnd w:id="181"/>
      <w:bookmarkEnd w:id="182"/>
    </w:p>
    <w:p w14:paraId="70383738" w14:textId="144FB078" w:rsidR="00FC1D77" w:rsidRDefault="00FC1D77" w:rsidP="00FC1D77">
      <w:bookmarkStart w:id="184" w:name="_Hlk531282875"/>
      <w:bookmarkStart w:id="185" w:name="_Ref527106118"/>
      <w:bookmarkStart w:id="186" w:name="_Ref527114919"/>
      <w:r w:rsidRPr="002D2E58">
        <w:t xml:space="preserve">Georgia Power operates 18 </w:t>
      </w:r>
      <w:r w:rsidR="009649EE">
        <w:t>hydro</w:t>
      </w:r>
      <w:r w:rsidRPr="002D2E58">
        <w:t xml:space="preserve"> facilities and has an ownership interest in a 19</w:t>
      </w:r>
      <w:r w:rsidRPr="003F3AD7">
        <w:rPr>
          <w:vertAlign w:val="superscript"/>
        </w:rPr>
        <w:t>th</w:t>
      </w:r>
      <w:r w:rsidR="009F4193">
        <w:t xml:space="preserve"> – </w:t>
      </w:r>
      <w:r w:rsidR="003B152C">
        <w:t xml:space="preserve">Plant </w:t>
      </w:r>
      <w:r w:rsidRPr="002D2E58">
        <w:t>Rocky Mountain</w:t>
      </w:r>
      <w:r w:rsidR="009F4193">
        <w:t xml:space="preserve"> – </w:t>
      </w:r>
      <w:r w:rsidRPr="002D2E58">
        <w:t xml:space="preserve">with a total of 71 generating units in Georgia. All but one of these facilities </w:t>
      </w:r>
      <w:r w:rsidR="009F4193">
        <w:t>–</w:t>
      </w:r>
      <w:r w:rsidR="003B152C">
        <w:t xml:space="preserve"> Plant</w:t>
      </w:r>
      <w:r w:rsidR="009F4193">
        <w:t xml:space="preserve"> </w:t>
      </w:r>
      <w:r w:rsidRPr="002D2E58">
        <w:t>Estatoah</w:t>
      </w:r>
      <w:r w:rsidR="009F4193">
        <w:t xml:space="preserve"> – </w:t>
      </w:r>
      <w:r w:rsidRPr="002D2E58">
        <w:t xml:space="preserve">is licensed </w:t>
      </w:r>
      <w:r>
        <w:t>by</w:t>
      </w:r>
      <w:r w:rsidRPr="002D2E58">
        <w:t xml:space="preserve"> the Federal Energy Regulatory Commission</w:t>
      </w:r>
      <w:r>
        <w:t xml:space="preserve"> (“FERC”) under the Federal Power Act</w:t>
      </w:r>
      <w:r w:rsidRPr="002D2E58">
        <w:t xml:space="preserve">. </w:t>
      </w:r>
      <w:r w:rsidR="0082417E">
        <w:t xml:space="preserve">In all, Georgia Power has ownership rights to </w:t>
      </w:r>
      <w:r w:rsidR="006645FF">
        <w:t xml:space="preserve">1,107 </w:t>
      </w:r>
      <w:r w:rsidRPr="002D2E58">
        <w:t xml:space="preserve">MW of </w:t>
      </w:r>
      <w:r w:rsidR="0082417E">
        <w:t xml:space="preserve">hydro </w:t>
      </w:r>
      <w:r w:rsidRPr="002D2E58">
        <w:t>capacity. The f</w:t>
      </w:r>
      <w:r>
        <w:t xml:space="preserve">ollowing information details a review of the fleet, </w:t>
      </w:r>
      <w:r w:rsidRPr="002D2E58">
        <w:t xml:space="preserve">relicensing </w:t>
      </w:r>
      <w:r>
        <w:t>schedules,</w:t>
      </w:r>
      <w:r w:rsidRPr="002D2E58">
        <w:t xml:space="preserve"> and </w:t>
      </w:r>
      <w:r>
        <w:t xml:space="preserve">the </w:t>
      </w:r>
      <w:r w:rsidRPr="002D2E58">
        <w:t>estimated risk of environmental challenges to continued operation associated with these facilities.</w:t>
      </w:r>
    </w:p>
    <w:p w14:paraId="45074966" w14:textId="1338F5AC" w:rsidR="00FC1D77" w:rsidRPr="00176ABC" w:rsidRDefault="00F752F7" w:rsidP="00817EA7">
      <w:pPr>
        <w:pStyle w:val="Heading2"/>
        <w:rPr>
          <w:rFonts w:eastAsia="Times New Roman"/>
        </w:rPr>
      </w:pPr>
      <w:bookmarkStart w:id="187" w:name="_Toc530329753"/>
      <w:bookmarkStart w:id="188" w:name="_Toc536209152"/>
      <w:r>
        <w:rPr>
          <w:rFonts w:eastAsia="Times New Roman"/>
        </w:rPr>
        <w:t xml:space="preserve">Continued </w:t>
      </w:r>
      <w:r w:rsidR="009D2774">
        <w:rPr>
          <w:rFonts w:eastAsia="Times New Roman"/>
        </w:rPr>
        <w:t>I</w:t>
      </w:r>
      <w:r>
        <w:rPr>
          <w:rFonts w:eastAsia="Times New Roman"/>
        </w:rPr>
        <w:t xml:space="preserve">nvestment </w:t>
      </w:r>
      <w:r w:rsidR="00FC1D77">
        <w:rPr>
          <w:rFonts w:eastAsia="Times New Roman"/>
        </w:rPr>
        <w:t>in the Hydro Fleet</w:t>
      </w:r>
      <w:bookmarkEnd w:id="187"/>
      <w:bookmarkEnd w:id="188"/>
    </w:p>
    <w:p w14:paraId="4397A86B" w14:textId="5085A498" w:rsidR="00FC1D77" w:rsidRDefault="00FC1D77" w:rsidP="00FC1D77">
      <w:r>
        <w:t xml:space="preserve">Georgia Power has conducted an extensive review of its </w:t>
      </w:r>
      <w:r w:rsidR="009649EE">
        <w:t>hydro</w:t>
      </w:r>
      <w:r>
        <w:t xml:space="preserve"> fleet and determined that numerous, essential components at several facilities are at or near the end of their useful lives </w:t>
      </w:r>
      <w:r w:rsidR="00B87A3B">
        <w:t>and require additional investment to continue operation. These investments</w:t>
      </w:r>
      <w:r w:rsidR="00FA2C09">
        <w:t xml:space="preserve"> will allow these resources to operate for at least another forty years while</w:t>
      </w:r>
      <w:r w:rsidR="00B87A3B">
        <w:t xml:space="preserve"> improv</w:t>
      </w:r>
      <w:r w:rsidR="00D27188">
        <w:t>ing</w:t>
      </w:r>
      <w:r w:rsidR="00B87A3B">
        <w:t xml:space="preserve"> the </w:t>
      </w:r>
      <w:r>
        <w:t xml:space="preserve">efficiency, integrity, and safety of the </w:t>
      </w:r>
      <w:r w:rsidR="009649EE">
        <w:t>hydro</w:t>
      </w:r>
      <w:r>
        <w:t xml:space="preserve"> fleet while preserving </w:t>
      </w:r>
      <w:bookmarkStart w:id="189" w:name="_Hlk529874598"/>
      <w:r>
        <w:t xml:space="preserve">valuable carbon-free resources for the </w:t>
      </w:r>
      <w:r w:rsidR="00ED4B6D">
        <w:t xml:space="preserve">long-term </w:t>
      </w:r>
      <w:r>
        <w:t>benefit of all customers.</w:t>
      </w:r>
    </w:p>
    <w:bookmarkEnd w:id="189"/>
    <w:p w14:paraId="2C24ECF6" w14:textId="5A2EE0DC" w:rsidR="00FC1D77" w:rsidRPr="005A4C23" w:rsidRDefault="00FC1D77" w:rsidP="00FC1D77">
      <w:r>
        <w:t xml:space="preserve">The need for </w:t>
      </w:r>
      <w:r w:rsidR="00F752F7">
        <w:t xml:space="preserve">additional </w:t>
      </w:r>
      <w:r>
        <w:t xml:space="preserve">investment is demonstrated by recent performance issues, facility conditions, and </w:t>
      </w:r>
      <w:r w:rsidR="007E19ED">
        <w:t xml:space="preserve">operational experiences at several units. Performance issues due to turbine failures, generator </w:t>
      </w:r>
      <w:r>
        <w:t xml:space="preserve">failures, and penstock corrosion lead to long-term forced outages and warrant additional investment. These investments would address required maintenance and upgrades related to issues such as cavitation damage to turbines, aging head gate operators, aging relays and gauges, and cracking in wicket gates, and would allow for needed generator rewinds and replacement of turbines, cranes, piping, oil-filled circuit breakers, spillway gates and flashboards, and other equipment critical to operation. Moreover, replacing leaking spillway gates, replacing flashboards with modern gates, and </w:t>
      </w:r>
      <w:r w:rsidR="003B4CAC">
        <w:t xml:space="preserve">replacing </w:t>
      </w:r>
      <w:r>
        <w:t>wicket gates will reduce current energy losses from these plants and improve their performance.</w:t>
      </w:r>
    </w:p>
    <w:p w14:paraId="05B6D456" w14:textId="598C6D80" w:rsidR="00ED4B6D" w:rsidRDefault="00ED4B6D" w:rsidP="00ED4B6D">
      <w:r>
        <w:t>The hydro fleet’s unique operating characteristics support continued</w:t>
      </w:r>
      <w:r w:rsidR="008B443E">
        <w:t xml:space="preserve"> renewable</w:t>
      </w:r>
      <w:r w:rsidR="003C6F9C">
        <w:t xml:space="preserve"> resource integration by compensating for the</w:t>
      </w:r>
      <w:r>
        <w:t xml:space="preserve"> intermittent</w:t>
      </w:r>
      <w:r w:rsidR="003C6F9C">
        <w:t xml:space="preserve"> nature of renewable</w:t>
      </w:r>
      <w:r>
        <w:t xml:space="preserve"> </w:t>
      </w:r>
      <w:r w:rsidR="003C6F9C">
        <w:t xml:space="preserve">generation, specifically wind and solar. These characteristics, such as </w:t>
      </w:r>
      <w:r>
        <w:t>quick start capability, high ramp rates, and pumped-storage abilities are superior to the capability of other dispatchable resources.</w:t>
      </w:r>
      <w:r w:rsidR="003C6F9C" w:rsidRPr="003C6F9C">
        <w:t xml:space="preserve"> </w:t>
      </w:r>
      <w:r w:rsidR="003C6F9C">
        <w:t>Several hydro units have experienced increased outage rates (both planned and unplanned)</w:t>
      </w:r>
      <w:r w:rsidR="007B36A3">
        <w:t xml:space="preserve"> due to the </w:t>
      </w:r>
      <w:r w:rsidR="00831852">
        <w:t>performance issues</w:t>
      </w:r>
      <w:r w:rsidR="007B36A3">
        <w:t xml:space="preserve"> mentioned above</w:t>
      </w:r>
      <w:r w:rsidR="003C6F9C">
        <w:t xml:space="preserve">. At the same time, the amount of intermittent renewable resources on Georgia Power’s system has continued to grow. </w:t>
      </w:r>
    </w:p>
    <w:p w14:paraId="2A3BDC08" w14:textId="607DAB33" w:rsidR="00FC1D77" w:rsidRDefault="00FC1D77" w:rsidP="00FC1D77">
      <w:r>
        <w:t xml:space="preserve">The hydro fleet also provides other unique benefits to the </w:t>
      </w:r>
      <w:r w:rsidR="00B87A3B">
        <w:t>s</w:t>
      </w:r>
      <w:r>
        <w:t>tate of Georgia</w:t>
      </w:r>
      <w:r w:rsidR="007B36A3">
        <w:t>,</w:t>
      </w:r>
      <w:r>
        <w:t xml:space="preserve"> </w:t>
      </w:r>
      <w:r w:rsidR="007B36A3">
        <w:t xml:space="preserve">including </w:t>
      </w:r>
      <w:r>
        <w:t>recreational opportunities, fish and wildlife enhancements, and local economic development.</w:t>
      </w:r>
      <w:r w:rsidR="005A1DE5" w:rsidDel="005A1DE5">
        <w:t xml:space="preserve"> </w:t>
      </w:r>
      <w:r>
        <w:t xml:space="preserve">For the Company to continue providing these benefits and operating the </w:t>
      </w:r>
      <w:r w:rsidR="00164259">
        <w:t>plants</w:t>
      </w:r>
      <w:r>
        <w:t xml:space="preserve"> in compliance with FERC license requirements, the Company must maintain its </w:t>
      </w:r>
      <w:r w:rsidR="00164259">
        <w:t xml:space="preserve">plants. </w:t>
      </w:r>
      <w:r>
        <w:t xml:space="preserve">If Georgia Power does not reinvest in these </w:t>
      </w:r>
      <w:r w:rsidR="00164259">
        <w:t>plants</w:t>
      </w:r>
      <w:r>
        <w:t xml:space="preserve">, the Company may need to surrender its FERC licenses and decommission the </w:t>
      </w:r>
      <w:r w:rsidR="00164259">
        <w:t>plants</w:t>
      </w:r>
      <w:r>
        <w:t xml:space="preserve">, at which point the Company could not guarantee that the reservoirs and dam facilities would be preserved and function in a manner consistent with current operations. Given these risks and the benefits associated with the continued operation of its </w:t>
      </w:r>
      <w:r w:rsidR="009649EE">
        <w:t>hydro</w:t>
      </w:r>
      <w:r>
        <w:t xml:space="preserve"> fleet, the Company intends to make appropriate additional investments to ensure the continued operation of the </w:t>
      </w:r>
      <w:r w:rsidR="009649EE">
        <w:t>hydro</w:t>
      </w:r>
      <w:r>
        <w:t xml:space="preserve"> fleet.</w:t>
      </w:r>
      <w:r w:rsidR="006234FA">
        <w:t xml:space="preserve"> The</w:t>
      </w:r>
      <w:r w:rsidR="00FF3524">
        <w:t xml:space="preserve"> total hydro capital budget, including the</w:t>
      </w:r>
      <w:r w:rsidR="006234FA">
        <w:t xml:space="preserve"> estimated costs of these investments</w:t>
      </w:r>
      <w:r w:rsidR="00FF3524">
        <w:t>, is</w:t>
      </w:r>
      <w:r w:rsidR="006234FA">
        <w:t xml:space="preserve"> included in the Selected Support</w:t>
      </w:r>
      <w:r w:rsidR="006B3A6E">
        <w:t>ing</w:t>
      </w:r>
      <w:r w:rsidR="006234FA">
        <w:t xml:space="preserve"> Information section of Technical Appendix Volume 1</w:t>
      </w:r>
      <w:r w:rsidR="00534B1F">
        <w:t>.</w:t>
      </w:r>
    </w:p>
    <w:p w14:paraId="7946369A" w14:textId="2F96FF50" w:rsidR="00D26A8D" w:rsidRPr="00D26A8D" w:rsidRDefault="00D26A8D" w:rsidP="00817EA7">
      <w:pPr>
        <w:pStyle w:val="Heading2"/>
        <w:rPr>
          <w:rFonts w:eastAsia="Times New Roman"/>
        </w:rPr>
      </w:pPr>
      <w:bookmarkStart w:id="190" w:name="_Toc536209153"/>
      <w:r>
        <w:rPr>
          <w:rFonts w:eastAsia="Times New Roman"/>
        </w:rPr>
        <w:t xml:space="preserve">Certification of </w:t>
      </w:r>
      <w:r w:rsidR="00B95D00">
        <w:rPr>
          <w:rFonts w:eastAsia="Times New Roman"/>
        </w:rPr>
        <w:t xml:space="preserve">Plant </w:t>
      </w:r>
      <w:r>
        <w:rPr>
          <w:rFonts w:eastAsia="Times New Roman"/>
        </w:rPr>
        <w:t>Goat Rock Units 9-12</w:t>
      </w:r>
      <w:bookmarkEnd w:id="190"/>
    </w:p>
    <w:p w14:paraId="5574DED2" w14:textId="25D5C770" w:rsidR="00FC1D77" w:rsidRDefault="005A1DE5" w:rsidP="00FC1D77">
      <w:r>
        <w:t xml:space="preserve">As discussed in </w:t>
      </w:r>
      <w:r w:rsidR="00C857AA">
        <w:fldChar w:fldCharType="begin"/>
      </w:r>
      <w:r w:rsidR="00C857AA">
        <w:instrText xml:space="preserve"> REF _Ref533152742 \n \h </w:instrText>
      </w:r>
      <w:r w:rsidR="00C857AA">
        <w:fldChar w:fldCharType="separate"/>
      </w:r>
      <w:r w:rsidR="00F33DA2">
        <w:t>ATTACHMENT E</w:t>
      </w:r>
      <w:r w:rsidR="00C857AA">
        <w:fldChar w:fldCharType="end"/>
      </w:r>
      <w:r>
        <w:t xml:space="preserve">, </w:t>
      </w:r>
      <w:r w:rsidRPr="005A1DE5">
        <w:t>Georgia Power is requesting</w:t>
      </w:r>
      <w:r w:rsidR="0004510F">
        <w:t xml:space="preserve"> certification of capacity increases at the Goat Rock hydro facility </w:t>
      </w:r>
      <w:r w:rsidRPr="005A1DE5">
        <w:t xml:space="preserve">to correct a flow imbalance in the Chattahoochee River hydro fleet. </w:t>
      </w:r>
      <w:r>
        <w:t xml:space="preserve">The Company is replacing turbines at </w:t>
      </w:r>
      <w:r w:rsidR="0082417E">
        <w:t xml:space="preserve">Plant </w:t>
      </w:r>
      <w:r>
        <w:t>Goat Rock Units 3-6</w:t>
      </w:r>
      <w:r w:rsidR="0082417E">
        <w:t>,</w:t>
      </w:r>
      <w:r>
        <w:t xml:space="preserve"> </w:t>
      </w:r>
      <w:r w:rsidR="00B95D00">
        <w:t>which will increase</w:t>
      </w:r>
      <w:r w:rsidR="0082417E">
        <w:t xml:space="preserve"> the capacity </w:t>
      </w:r>
      <w:r w:rsidR="00E1459B">
        <w:t>from</w:t>
      </w:r>
      <w:r w:rsidR="00E1459B" w:rsidRPr="005A1DE5">
        <w:t xml:space="preserve"> </w:t>
      </w:r>
      <w:r w:rsidR="00F752F7" w:rsidRPr="005A1DE5">
        <w:t xml:space="preserve">5 MW to </w:t>
      </w:r>
      <w:r w:rsidR="00F752F7">
        <w:t xml:space="preserve">approximately </w:t>
      </w:r>
      <w:r w:rsidR="00F752F7" w:rsidRPr="005A1DE5">
        <w:t>9.6</w:t>
      </w:r>
      <w:r w:rsidR="00F752F7">
        <w:t xml:space="preserve"> MW </w:t>
      </w:r>
      <w:r>
        <w:t>for each unit</w:t>
      </w:r>
      <w:r w:rsidR="0082417E">
        <w:t xml:space="preserve"> and</w:t>
      </w:r>
      <w:r w:rsidRPr="005A1DE5">
        <w:t xml:space="preserve"> bring the capacity of the entire Goat Rock hydro facility from </w:t>
      </w:r>
      <w:r w:rsidR="00450118">
        <w:t xml:space="preserve">approximately </w:t>
      </w:r>
      <w:r w:rsidRPr="005A1DE5">
        <w:t>3</w:t>
      </w:r>
      <w:r w:rsidR="00450118">
        <w:t>9</w:t>
      </w:r>
      <w:r w:rsidRPr="005A1DE5">
        <w:t xml:space="preserve"> MW to approximately 57 MW</w:t>
      </w:r>
      <w:r>
        <w:t xml:space="preserve">. </w:t>
      </w:r>
      <w:r w:rsidRPr="005A1DE5">
        <w:t xml:space="preserve">As a result of the turbine replacements, </w:t>
      </w:r>
      <w:r w:rsidR="00ED4B6D" w:rsidRPr="005A1DE5">
        <w:t>Plant Goat Rock Units 3-6 will become Plant Goat Rock Units 9-12.</w:t>
      </w:r>
      <w:r w:rsidR="007E19ED">
        <w:t xml:space="preserve"> Plant Goat Rock, which is one plant within the Chattahoochee River hydro fleet, impounds the 965-acre Goat Rock Lake and has over 25 miles of</w:t>
      </w:r>
      <w:r w:rsidR="007E19ED" w:rsidRPr="007E19ED">
        <w:t xml:space="preserve"> shoreline with </w:t>
      </w:r>
      <w:r w:rsidR="007E19ED">
        <w:t xml:space="preserve">45 </w:t>
      </w:r>
      <w:r w:rsidR="007E19ED" w:rsidRPr="007E19ED">
        <w:t>residential and commercial leases. During drought</w:t>
      </w:r>
      <w:r w:rsidR="007C4CE7">
        <w:t xml:space="preserve"> conditions</w:t>
      </w:r>
      <w:r w:rsidR="007E19ED" w:rsidRPr="007E19ED">
        <w:t xml:space="preserve">, </w:t>
      </w:r>
      <w:r w:rsidR="007E19ED">
        <w:t xml:space="preserve">Plant </w:t>
      </w:r>
      <w:r w:rsidR="007E19ED" w:rsidRPr="007E19ED">
        <w:t>Goat Rock is operated in</w:t>
      </w:r>
      <w:r w:rsidR="007E19ED">
        <w:t xml:space="preserve"> </w:t>
      </w:r>
      <w:r w:rsidR="007E19ED" w:rsidRPr="007E19ED">
        <w:t>conjunction with the other</w:t>
      </w:r>
      <w:r w:rsidR="00E22711">
        <w:t xml:space="preserve"> hydro plants along</w:t>
      </w:r>
      <w:r w:rsidR="007E19ED" w:rsidRPr="007E19ED">
        <w:t xml:space="preserve"> </w:t>
      </w:r>
      <w:r w:rsidR="007C4CE7">
        <w:t xml:space="preserve">the </w:t>
      </w:r>
      <w:r w:rsidR="007E19ED" w:rsidRPr="007E19ED">
        <w:t xml:space="preserve">Chattahoochee </w:t>
      </w:r>
      <w:r w:rsidR="007E19ED">
        <w:t xml:space="preserve">to </w:t>
      </w:r>
      <w:r w:rsidR="007E19ED" w:rsidRPr="007E19ED">
        <w:t>help support minimum flows downstream for municipal and industrial users.</w:t>
      </w:r>
    </w:p>
    <w:p w14:paraId="10A6BFAC" w14:textId="591FAA0D" w:rsidR="00FC1D77" w:rsidRPr="00176ABC" w:rsidRDefault="00FC1D77" w:rsidP="00817EA7">
      <w:pPr>
        <w:pStyle w:val="Heading2"/>
        <w:rPr>
          <w:rFonts w:eastAsia="Times New Roman"/>
        </w:rPr>
      </w:pPr>
      <w:bookmarkStart w:id="191" w:name="_Toc530329754"/>
      <w:bookmarkStart w:id="192" w:name="_Toc536209154"/>
      <w:r w:rsidRPr="00176ABC">
        <w:rPr>
          <w:rFonts w:eastAsia="Times New Roman"/>
        </w:rPr>
        <w:t>D</w:t>
      </w:r>
      <w:r>
        <w:rPr>
          <w:rFonts w:eastAsia="Times New Roman"/>
        </w:rPr>
        <w:t xml:space="preserve">ecertification of </w:t>
      </w:r>
      <w:r w:rsidR="00B95D00">
        <w:rPr>
          <w:rFonts w:eastAsia="Times New Roman"/>
        </w:rPr>
        <w:t xml:space="preserve">Plant </w:t>
      </w:r>
      <w:r w:rsidR="00264429">
        <w:rPr>
          <w:rFonts w:eastAsia="Times New Roman"/>
        </w:rPr>
        <w:t>Estatoah</w:t>
      </w:r>
      <w:r w:rsidR="0082417E">
        <w:rPr>
          <w:rFonts w:eastAsia="Times New Roman"/>
        </w:rPr>
        <w:t xml:space="preserve"> </w:t>
      </w:r>
      <w:r w:rsidR="00B95D00">
        <w:rPr>
          <w:rFonts w:eastAsia="Times New Roman"/>
        </w:rPr>
        <w:t xml:space="preserve">Unit </w:t>
      </w:r>
      <w:r w:rsidR="0082417E">
        <w:rPr>
          <w:rFonts w:eastAsia="Times New Roman"/>
        </w:rPr>
        <w:t>1</w:t>
      </w:r>
      <w:r w:rsidR="00264429">
        <w:rPr>
          <w:rFonts w:eastAsia="Times New Roman"/>
        </w:rPr>
        <w:t xml:space="preserve">, </w:t>
      </w:r>
      <w:r w:rsidR="00B95D00">
        <w:rPr>
          <w:rFonts w:eastAsia="Times New Roman"/>
        </w:rPr>
        <w:t xml:space="preserve">Plant </w:t>
      </w:r>
      <w:r w:rsidR="00264429">
        <w:rPr>
          <w:rFonts w:eastAsia="Times New Roman"/>
        </w:rPr>
        <w:t>Langdale</w:t>
      </w:r>
      <w:r w:rsidR="0082417E">
        <w:rPr>
          <w:rFonts w:eastAsia="Times New Roman"/>
        </w:rPr>
        <w:t xml:space="preserve"> </w:t>
      </w:r>
      <w:r w:rsidR="00B95D00">
        <w:rPr>
          <w:rFonts w:eastAsia="Times New Roman"/>
        </w:rPr>
        <w:t xml:space="preserve">Units </w:t>
      </w:r>
      <w:r w:rsidR="0082417E">
        <w:rPr>
          <w:rFonts w:eastAsia="Times New Roman"/>
        </w:rPr>
        <w:t>5-6</w:t>
      </w:r>
      <w:r>
        <w:rPr>
          <w:rFonts w:eastAsia="Times New Roman"/>
        </w:rPr>
        <w:t xml:space="preserve">, </w:t>
      </w:r>
      <w:r w:rsidR="00264429">
        <w:rPr>
          <w:rFonts w:eastAsia="Times New Roman"/>
        </w:rPr>
        <w:t xml:space="preserve">and </w:t>
      </w:r>
      <w:r w:rsidR="00B95D00">
        <w:rPr>
          <w:rFonts w:eastAsia="Times New Roman"/>
        </w:rPr>
        <w:t xml:space="preserve">Plant </w:t>
      </w:r>
      <w:r>
        <w:rPr>
          <w:rFonts w:eastAsia="Times New Roman"/>
        </w:rPr>
        <w:t>Riverview</w:t>
      </w:r>
      <w:bookmarkEnd w:id="191"/>
      <w:r w:rsidR="0082417E">
        <w:rPr>
          <w:rFonts w:eastAsia="Times New Roman"/>
        </w:rPr>
        <w:t xml:space="preserve"> </w:t>
      </w:r>
      <w:r w:rsidR="00B95D00">
        <w:rPr>
          <w:rFonts w:eastAsia="Times New Roman"/>
        </w:rPr>
        <w:t xml:space="preserve">Units </w:t>
      </w:r>
      <w:r w:rsidR="0082417E">
        <w:rPr>
          <w:rFonts w:eastAsia="Times New Roman"/>
        </w:rPr>
        <w:t>1-2</w:t>
      </w:r>
      <w:bookmarkEnd w:id="192"/>
    </w:p>
    <w:p w14:paraId="06347E18" w14:textId="04031D18" w:rsidR="00FC1D77" w:rsidRPr="006514C7" w:rsidRDefault="00FC1D77" w:rsidP="00FC1D77">
      <w:pPr>
        <w:rPr>
          <w:rFonts w:cs="Arial"/>
        </w:rPr>
      </w:pPr>
      <w:r>
        <w:t xml:space="preserve">Georgia Power </w:t>
      </w:r>
      <w:r w:rsidR="0004510F">
        <w:t xml:space="preserve">is also </w:t>
      </w:r>
      <w:r>
        <w:t>request</w:t>
      </w:r>
      <w:r w:rsidR="0004510F">
        <w:t>ing</w:t>
      </w:r>
      <w:r w:rsidR="006B0261">
        <w:t xml:space="preserve"> decertification of </w:t>
      </w:r>
      <w:r w:rsidR="00264429">
        <w:t xml:space="preserve">Plant Estatoah Unit 1, </w:t>
      </w:r>
      <w:r w:rsidR="006B0261">
        <w:t xml:space="preserve">Plant </w:t>
      </w:r>
      <w:r>
        <w:t>Langdale</w:t>
      </w:r>
      <w:r w:rsidR="006B0261">
        <w:t xml:space="preserve"> Units 5</w:t>
      </w:r>
      <w:r w:rsidR="00E22711">
        <w:t>-</w:t>
      </w:r>
      <w:r w:rsidR="006B0261">
        <w:t>6</w:t>
      </w:r>
      <w:r>
        <w:t xml:space="preserve">, </w:t>
      </w:r>
      <w:r w:rsidR="00264429">
        <w:t xml:space="preserve">and </w:t>
      </w:r>
      <w:r w:rsidR="006B0261">
        <w:t xml:space="preserve">Plant </w:t>
      </w:r>
      <w:r>
        <w:t>Riverview</w:t>
      </w:r>
      <w:r w:rsidR="006B0261">
        <w:t xml:space="preserve"> Units 1-2</w:t>
      </w:r>
      <w:r>
        <w:t>.</w:t>
      </w:r>
      <w:r w:rsidR="00D26A8D">
        <w:t xml:space="preserve"> </w:t>
      </w:r>
      <w:r w:rsidR="00B95D00">
        <w:t xml:space="preserve">Plant Estatoah is located in Dillard, GA, while </w:t>
      </w:r>
      <w:r w:rsidR="006B0261">
        <w:t>Plant</w:t>
      </w:r>
      <w:r w:rsidR="007B36A3">
        <w:t>s</w:t>
      </w:r>
      <w:r w:rsidR="006B0261">
        <w:t xml:space="preserve"> Langdale and Riverview are located on the Chattahoochee River</w:t>
      </w:r>
      <w:r w:rsidR="00B07541">
        <w:t xml:space="preserve"> approximately 30 miles upstream of Columbus, Georgia</w:t>
      </w:r>
      <w:r w:rsidR="006B0261">
        <w:t xml:space="preserve">. </w:t>
      </w:r>
      <w:r>
        <w:t xml:space="preserve">These are non-peaking, run of the river </w:t>
      </w:r>
      <w:r w:rsidR="009649EE">
        <w:t>hydro</w:t>
      </w:r>
      <w:r>
        <w:t xml:space="preserve"> plants that </w:t>
      </w:r>
      <w:r w:rsidR="00ED4B6D">
        <w:t>provide</w:t>
      </w:r>
      <w:r>
        <w:t xml:space="preserve"> little capacity. Their reservoirs are very </w:t>
      </w:r>
      <w:r w:rsidR="000C1C4C">
        <w:t xml:space="preserve">small and have no municipal water </w:t>
      </w:r>
      <w:r w:rsidR="00E22711">
        <w:t>intakes.</w:t>
      </w:r>
      <w:r w:rsidR="000C1C4C">
        <w:t xml:space="preserve"> </w:t>
      </w:r>
      <w:r w:rsidR="00ED4B6D">
        <w:t xml:space="preserve">Plants Langdale and Riverview </w:t>
      </w:r>
      <w:r>
        <w:t>have FERC licenses with minimal requirements</w:t>
      </w:r>
      <w:r w:rsidR="00ED4B6D">
        <w:t xml:space="preserve">. Plant </w:t>
      </w:r>
      <w:r>
        <w:t xml:space="preserve">Estatoah was never connected to the bulk </w:t>
      </w:r>
      <w:r w:rsidRPr="006514C7">
        <w:rPr>
          <w:rFonts w:cs="Arial"/>
        </w:rPr>
        <w:t>electric system</w:t>
      </w:r>
      <w:r w:rsidR="00ED4B6D">
        <w:rPr>
          <w:rFonts w:cs="Arial"/>
        </w:rPr>
        <w:t xml:space="preserve"> and therefore was not under FERC jurisdiction.</w:t>
      </w:r>
    </w:p>
    <w:p w14:paraId="26D61DA9" w14:textId="6185CC3C" w:rsidR="00FC1D77" w:rsidRDefault="00FC1D77" w:rsidP="00FC1D77">
      <w:r w:rsidRPr="00666D3C">
        <w:rPr>
          <w:rFonts w:eastAsia="Times New Roman" w:cs="Arial"/>
        </w:rPr>
        <w:t>Langdale and Riverview’s FERC licenses expire</w:t>
      </w:r>
      <w:r w:rsidR="003B152C">
        <w:rPr>
          <w:rFonts w:eastAsia="Times New Roman" w:cs="Arial"/>
        </w:rPr>
        <w:t xml:space="preserve"> on</w:t>
      </w:r>
      <w:r w:rsidRPr="00666D3C">
        <w:rPr>
          <w:rFonts w:eastAsia="Times New Roman" w:cs="Arial"/>
        </w:rPr>
        <w:t xml:space="preserve"> December 31, 2023. The licenses must be renewed through relicensing or surrendered through FERC proceedings</w:t>
      </w:r>
      <w:r>
        <w:rPr>
          <w:rFonts w:eastAsia="Times New Roman" w:cs="Arial"/>
        </w:rPr>
        <w:t>, and FERC required notice of intent to either relicense or surrender by December 31, 2018</w:t>
      </w:r>
      <w:r w:rsidRPr="00666D3C">
        <w:rPr>
          <w:rFonts w:eastAsia="Times New Roman" w:cs="Arial"/>
        </w:rPr>
        <w:t xml:space="preserve">. </w:t>
      </w:r>
      <w:r w:rsidR="00D2518F" w:rsidRPr="00856021">
        <w:rPr>
          <w:rFonts w:eastAsia="Times New Roman" w:cs="Arial"/>
        </w:rPr>
        <w:t>Natural resource agencies are in favor of surrender and removing the dams at these facilities to restore riverine habitat for aquatic species of interest</w:t>
      </w:r>
      <w:r w:rsidR="00D2518F" w:rsidRPr="00666D3C">
        <w:rPr>
          <w:rFonts w:eastAsia="Times New Roman" w:cs="Arial"/>
        </w:rPr>
        <w:t xml:space="preserve">. </w:t>
      </w:r>
      <w:r w:rsidRPr="00666D3C">
        <w:rPr>
          <w:rFonts w:eastAsia="Times New Roman" w:cs="Arial"/>
        </w:rPr>
        <w:t xml:space="preserve">This, coupled with the low capacity of these small hydro </w:t>
      </w:r>
      <w:r w:rsidR="00164259">
        <w:rPr>
          <w:rFonts w:eastAsia="Times New Roman" w:cs="Arial"/>
        </w:rPr>
        <w:t>plants</w:t>
      </w:r>
      <w:r w:rsidRPr="00666D3C">
        <w:rPr>
          <w:rFonts w:eastAsia="Times New Roman" w:cs="Arial"/>
        </w:rPr>
        <w:t xml:space="preserve">, </w:t>
      </w:r>
      <w:r>
        <w:rPr>
          <w:rFonts w:eastAsia="Times New Roman" w:cs="Arial"/>
        </w:rPr>
        <w:t xml:space="preserve">weighs in </w:t>
      </w:r>
      <w:r w:rsidRPr="00666D3C">
        <w:rPr>
          <w:rFonts w:eastAsia="Times New Roman" w:cs="Arial"/>
        </w:rPr>
        <w:t>favor</w:t>
      </w:r>
      <w:r>
        <w:rPr>
          <w:rFonts w:eastAsia="Times New Roman" w:cs="Arial"/>
        </w:rPr>
        <w:t xml:space="preserve"> of</w:t>
      </w:r>
      <w:r w:rsidRPr="00666D3C">
        <w:rPr>
          <w:rFonts w:eastAsia="Times New Roman" w:cs="Arial"/>
        </w:rPr>
        <w:t xml:space="preserve"> proposing license surrender</w:t>
      </w:r>
      <w:r w:rsidRPr="00ED5237">
        <w:rPr>
          <w:rFonts w:eastAsia="Times New Roman" w:cs="Arial"/>
        </w:rPr>
        <w:t xml:space="preserve"> and dam removal.</w:t>
      </w:r>
      <w:r w:rsidRPr="00666D3C">
        <w:rPr>
          <w:rFonts w:eastAsia="Times New Roman" w:cs="Arial"/>
        </w:rPr>
        <w:t xml:space="preserve"> Therefore, Georgia Power </w:t>
      </w:r>
      <w:r w:rsidR="006C2221">
        <w:rPr>
          <w:rFonts w:eastAsia="Times New Roman" w:cs="Arial"/>
        </w:rPr>
        <w:t xml:space="preserve">filed on December </w:t>
      </w:r>
      <w:r w:rsidR="009D62AE">
        <w:rPr>
          <w:rFonts w:eastAsia="Times New Roman" w:cs="Arial"/>
        </w:rPr>
        <w:t>18,</w:t>
      </w:r>
      <w:r w:rsidR="006C2221" w:rsidRPr="006C2221">
        <w:rPr>
          <w:rFonts w:eastAsia="Times New Roman" w:cs="Arial"/>
          <w:vertAlign w:val="superscript"/>
        </w:rPr>
        <w:t xml:space="preserve"> </w:t>
      </w:r>
      <w:r w:rsidR="006C2221">
        <w:rPr>
          <w:rFonts w:eastAsia="Times New Roman" w:cs="Arial"/>
        </w:rPr>
        <w:t>2018</w:t>
      </w:r>
      <w:r w:rsidRPr="00666D3C">
        <w:rPr>
          <w:rFonts w:eastAsia="Times New Roman" w:cs="Arial"/>
        </w:rPr>
        <w:t xml:space="preserve"> to surrender the Langdale and Riverview FERC licenses and </w:t>
      </w:r>
      <w:r w:rsidR="006C2221">
        <w:rPr>
          <w:rFonts w:eastAsia="Times New Roman" w:cs="Arial"/>
        </w:rPr>
        <w:t xml:space="preserve">is proposing to </w:t>
      </w:r>
      <w:r w:rsidRPr="00666D3C">
        <w:rPr>
          <w:rFonts w:eastAsia="Times New Roman" w:cs="Arial"/>
        </w:rPr>
        <w:t xml:space="preserve">remove the dams. </w:t>
      </w:r>
      <w:r w:rsidRPr="006514C7">
        <w:rPr>
          <w:rFonts w:cs="Arial"/>
        </w:rPr>
        <w:t xml:space="preserve">Removal costs </w:t>
      </w:r>
      <w:r w:rsidR="000C1C4C">
        <w:rPr>
          <w:rFonts w:cs="Arial"/>
        </w:rPr>
        <w:t xml:space="preserve">at Langdale and Riverview </w:t>
      </w:r>
      <w:r w:rsidR="00D2518F" w:rsidRPr="00856021">
        <w:rPr>
          <w:rFonts w:cs="Arial"/>
        </w:rPr>
        <w:t>may be reduced with potential funding partnerships with agencies, although the availability and extent of the funding is unknown at this time.</w:t>
      </w:r>
    </w:p>
    <w:p w14:paraId="54BB0967" w14:textId="77777777" w:rsidR="00FC1D77" w:rsidRDefault="00FC1D77" w:rsidP="00817EA7">
      <w:pPr>
        <w:pStyle w:val="Heading2"/>
      </w:pPr>
      <w:bookmarkStart w:id="193" w:name="_Toc530329755"/>
      <w:bookmarkStart w:id="194" w:name="_Toc536209155"/>
      <w:r>
        <w:t>Relicensing Schedule</w:t>
      </w:r>
      <w:bookmarkEnd w:id="193"/>
      <w:bookmarkEnd w:id="194"/>
    </w:p>
    <w:p w14:paraId="266495C0" w14:textId="0D75A75A" w:rsidR="00FC1D77" w:rsidRPr="002D2E58" w:rsidRDefault="00FC1D77" w:rsidP="00FC1D77">
      <w:r w:rsidRPr="002D2E58">
        <w:t xml:space="preserve">The following </w:t>
      </w:r>
      <w:r w:rsidR="00534B1F">
        <w:t>s</w:t>
      </w:r>
      <w:r>
        <w:t>ection</w:t>
      </w:r>
      <w:r w:rsidRPr="002D2E58">
        <w:t xml:space="preserve"> </w:t>
      </w:r>
      <w:r>
        <w:t>highlights</w:t>
      </w:r>
      <w:r w:rsidRPr="002D2E58">
        <w:t xml:space="preserve"> recent and </w:t>
      </w:r>
      <w:r>
        <w:t xml:space="preserve">upcoming </w:t>
      </w:r>
      <w:r w:rsidRPr="002D2E58">
        <w:t>relicensing proceedings</w:t>
      </w:r>
      <w:r>
        <w:t xml:space="preserve"> for various Georgia Power hydro plants</w:t>
      </w:r>
      <w:r w:rsidRPr="002D2E58">
        <w:t xml:space="preserve"> that will be ongoi</w:t>
      </w:r>
      <w:r>
        <w:t>ng over the next twenty years.</w:t>
      </w:r>
    </w:p>
    <w:p w14:paraId="7BD1BEB6" w14:textId="77777777" w:rsidR="00FC1D77" w:rsidRPr="00CE2B9B" w:rsidRDefault="00FC1D77" w:rsidP="00817EA7">
      <w:pPr>
        <w:pStyle w:val="Heading3"/>
      </w:pPr>
      <w:bookmarkStart w:id="195" w:name="_Toc347116381"/>
      <w:r w:rsidRPr="00CE2B9B">
        <w:t>Wallace Dam</w:t>
      </w:r>
    </w:p>
    <w:p w14:paraId="388E55C3" w14:textId="77777777" w:rsidR="00FC1D77" w:rsidRPr="00801242" w:rsidRDefault="00FC1D77" w:rsidP="00FC1D77">
      <w:pPr>
        <w:rPr>
          <w:i/>
        </w:rPr>
      </w:pPr>
      <w:r w:rsidRPr="00801242">
        <w:rPr>
          <w:i/>
        </w:rPr>
        <w:t xml:space="preserve">License Expires </w:t>
      </w:r>
      <w:r>
        <w:rPr>
          <w:i/>
        </w:rPr>
        <w:t>05/31/2020</w:t>
      </w:r>
    </w:p>
    <w:p w14:paraId="477CE73E" w14:textId="28FB10F5" w:rsidR="00FC1D77" w:rsidRDefault="00FC1D77" w:rsidP="00FC1D77">
      <w:r>
        <w:t>Preparation for t</w:t>
      </w:r>
      <w:r w:rsidRPr="002D2E58">
        <w:t>he relicens</w:t>
      </w:r>
      <w:r>
        <w:t>ing</w:t>
      </w:r>
      <w:r w:rsidRPr="002D2E58">
        <w:t xml:space="preserve"> process began internally in 2013</w:t>
      </w:r>
      <w:r>
        <w:t>.</w:t>
      </w:r>
      <w:r w:rsidRPr="002D2E58">
        <w:t xml:space="preserve"> </w:t>
      </w:r>
      <w:r>
        <w:t>O</w:t>
      </w:r>
      <w:r w:rsidRPr="002D2E58">
        <w:t>n February 18, 2015</w:t>
      </w:r>
      <w:r>
        <w:t>, Georgia Power filed a Notice of Intent to relicense the project with FERC</w:t>
      </w:r>
      <w:r w:rsidRPr="002D2E58">
        <w:t>.</w:t>
      </w:r>
      <w:r>
        <w:t xml:space="preserve"> </w:t>
      </w:r>
      <w:r w:rsidRPr="002D2E58">
        <w:t xml:space="preserve">Consultation with stakeholders </w:t>
      </w:r>
      <w:r>
        <w:t xml:space="preserve">continued </w:t>
      </w:r>
      <w:r w:rsidRPr="002D2E58">
        <w:t xml:space="preserve">until May 2018, when Georgia Power </w:t>
      </w:r>
      <w:r>
        <w:t xml:space="preserve">filed the </w:t>
      </w:r>
      <w:r w:rsidRPr="002D2E58">
        <w:t>license application with FERC.</w:t>
      </w:r>
      <w:r>
        <w:t xml:space="preserve"> </w:t>
      </w:r>
      <w:r w:rsidRPr="002D2E58">
        <w:t xml:space="preserve">FERC will issue a new license by June 2020 that will likely </w:t>
      </w:r>
      <w:r>
        <w:t>require Georgia Power to provide</w:t>
      </w:r>
      <w:r w:rsidRPr="002D2E58">
        <w:t xml:space="preserve"> environmental</w:t>
      </w:r>
      <w:r>
        <w:t>, recreation and other project</w:t>
      </w:r>
      <w:r w:rsidRPr="002D2E58">
        <w:t xml:space="preserve"> enhancements</w:t>
      </w:r>
      <w:r>
        <w:t xml:space="preserve"> during the new license term</w:t>
      </w:r>
      <w:r w:rsidRPr="002D2E58">
        <w:t>.</w:t>
      </w:r>
      <w:r>
        <w:t xml:space="preserve"> </w:t>
      </w:r>
      <w:r w:rsidRPr="002D2E58">
        <w:t xml:space="preserve">Beginning in 2020, </w:t>
      </w:r>
      <w:r w:rsidR="007B36A3">
        <w:t xml:space="preserve">any </w:t>
      </w:r>
      <w:r w:rsidRPr="002D2E58">
        <w:t>post</w:t>
      </w:r>
      <w:r>
        <w:t>-</w:t>
      </w:r>
      <w:r w:rsidRPr="002D2E58">
        <w:t>license enhancements required by the new FERC license will be implemented.</w:t>
      </w:r>
      <w:r>
        <w:t xml:space="preserve"> These enhancements likely will include an in-reservoir pure oxygen aeration injection system to improve dissolved oxygen in the plant discharge, an overhaul of existing recreation facilities, the addition of new bank fishing access areas for the public, and acquisition of lands within the FERC project boundary.</w:t>
      </w:r>
    </w:p>
    <w:p w14:paraId="4E7BD26A" w14:textId="77777777" w:rsidR="00FC1D77" w:rsidRPr="00CE2B9B" w:rsidRDefault="00FC1D77" w:rsidP="00817EA7">
      <w:pPr>
        <w:pStyle w:val="Heading3"/>
      </w:pPr>
      <w:r w:rsidRPr="00CE2B9B">
        <w:t>Lloyd Shoals Projects</w:t>
      </w:r>
    </w:p>
    <w:p w14:paraId="7F4409B7" w14:textId="77777777" w:rsidR="00FC1D77" w:rsidRPr="00801242" w:rsidRDefault="00FC1D77" w:rsidP="00FC1D77">
      <w:pPr>
        <w:rPr>
          <w:i/>
        </w:rPr>
      </w:pPr>
      <w:r w:rsidRPr="00801242">
        <w:rPr>
          <w:i/>
        </w:rPr>
        <w:t xml:space="preserve">License Expires </w:t>
      </w:r>
      <w:r>
        <w:rPr>
          <w:i/>
        </w:rPr>
        <w:t>12/31/2023</w:t>
      </w:r>
    </w:p>
    <w:p w14:paraId="7035B02E" w14:textId="54D16D7A" w:rsidR="00FC1D77" w:rsidRPr="002D2E58" w:rsidRDefault="00FC1D77" w:rsidP="00FC1D77">
      <w:r w:rsidRPr="002D2E58">
        <w:t xml:space="preserve">The </w:t>
      </w:r>
      <w:r>
        <w:t xml:space="preserve">Lloyd Shoals </w:t>
      </w:r>
      <w:r w:rsidRPr="002D2E58">
        <w:t xml:space="preserve">relicense process </w:t>
      </w:r>
      <w:r>
        <w:t xml:space="preserve">started internally </w:t>
      </w:r>
      <w:r w:rsidRPr="002D2E58">
        <w:t>in 2017</w:t>
      </w:r>
      <w:r>
        <w:t>.</w:t>
      </w:r>
      <w:r w:rsidRPr="002D2E58">
        <w:t xml:space="preserve"> </w:t>
      </w:r>
      <w:r>
        <w:t>A</w:t>
      </w:r>
      <w:r w:rsidRPr="002D2E58">
        <w:t xml:space="preserve"> Notice of Intent to </w:t>
      </w:r>
      <w:r>
        <w:t>r</w:t>
      </w:r>
      <w:r w:rsidRPr="002D2E58">
        <w:t>elicense the project</w:t>
      </w:r>
      <w:r>
        <w:t xml:space="preserve"> was </w:t>
      </w:r>
      <w:r w:rsidRPr="002D2E58">
        <w:t xml:space="preserve">filed with FERC </w:t>
      </w:r>
      <w:r>
        <w:t>on July 3, 2018</w:t>
      </w:r>
      <w:r w:rsidRPr="002D2E58">
        <w:t>.</w:t>
      </w:r>
    </w:p>
    <w:p w14:paraId="6B86E2C3" w14:textId="77777777" w:rsidR="00FC1D77" w:rsidRPr="00CE2B9B" w:rsidRDefault="00FC1D77" w:rsidP="00817EA7">
      <w:pPr>
        <w:pStyle w:val="Heading3"/>
      </w:pPr>
      <w:r w:rsidRPr="00CE2B9B">
        <w:t>Langdale and Riverview Projects</w:t>
      </w:r>
    </w:p>
    <w:p w14:paraId="30B65358" w14:textId="77777777" w:rsidR="00FC1D77" w:rsidRPr="00801242" w:rsidRDefault="00FC1D77" w:rsidP="00FC1D77">
      <w:pPr>
        <w:rPr>
          <w:i/>
        </w:rPr>
      </w:pPr>
      <w:r w:rsidRPr="00801242">
        <w:rPr>
          <w:i/>
        </w:rPr>
        <w:t>License</w:t>
      </w:r>
      <w:r>
        <w:rPr>
          <w:i/>
        </w:rPr>
        <w:t>s</w:t>
      </w:r>
      <w:r w:rsidRPr="00801242">
        <w:rPr>
          <w:i/>
        </w:rPr>
        <w:t xml:space="preserve"> Expire </w:t>
      </w:r>
      <w:r>
        <w:rPr>
          <w:i/>
        </w:rPr>
        <w:t>12/31/2023</w:t>
      </w:r>
    </w:p>
    <w:p w14:paraId="646651AA" w14:textId="0161C8A7" w:rsidR="000C1C4C" w:rsidRDefault="000C1C4C" w:rsidP="000C1C4C">
      <w:r>
        <w:t xml:space="preserve">Georgia Power filed a Notice to Surrender these projects on December 18, 2018. </w:t>
      </w:r>
    </w:p>
    <w:p w14:paraId="159C66F2" w14:textId="77777777" w:rsidR="00FC1D77" w:rsidRPr="00CE2B9B" w:rsidRDefault="00FC1D77" w:rsidP="00817EA7">
      <w:pPr>
        <w:pStyle w:val="Heading3"/>
      </w:pPr>
      <w:r w:rsidRPr="00CE2B9B">
        <w:t>Rocky Mountain Pumped Storage Project</w:t>
      </w:r>
      <w:r w:rsidRPr="00CE2B9B">
        <w:rPr>
          <w:sz w:val="28"/>
          <w:szCs w:val="28"/>
        </w:rPr>
        <w:t xml:space="preserve"> </w:t>
      </w:r>
      <w:r w:rsidRPr="00CE2B9B">
        <w:t>(</w:t>
      </w:r>
      <w:r>
        <w:t>c</w:t>
      </w:r>
      <w:r w:rsidRPr="00CE2B9B">
        <w:t xml:space="preserve">o-owned and </w:t>
      </w:r>
      <w:r>
        <w:t>j</w:t>
      </w:r>
      <w:r w:rsidRPr="00CE2B9B">
        <w:t xml:space="preserve">ointly </w:t>
      </w:r>
      <w:r>
        <w:t>l</w:t>
      </w:r>
      <w:r w:rsidRPr="00CE2B9B">
        <w:t>icensed with Oglethorpe Power)</w:t>
      </w:r>
    </w:p>
    <w:p w14:paraId="2C261D85" w14:textId="77777777" w:rsidR="00FC1D77" w:rsidRPr="00801242" w:rsidRDefault="00FC1D77" w:rsidP="00FC1D77">
      <w:pPr>
        <w:rPr>
          <w:i/>
        </w:rPr>
      </w:pPr>
      <w:r w:rsidRPr="00801242">
        <w:rPr>
          <w:i/>
        </w:rPr>
        <w:t xml:space="preserve">License Expires </w:t>
      </w:r>
      <w:r>
        <w:rPr>
          <w:i/>
        </w:rPr>
        <w:t>12/31/2026</w:t>
      </w:r>
    </w:p>
    <w:p w14:paraId="10651324" w14:textId="1F5B4E4A" w:rsidR="000C1C4C" w:rsidRDefault="000C1C4C" w:rsidP="000C1C4C">
      <w:r>
        <w:t>A</w:t>
      </w:r>
      <w:r w:rsidRPr="002D2E58">
        <w:t xml:space="preserve"> Notice of Intent to </w:t>
      </w:r>
      <w:r>
        <w:t>r</w:t>
      </w:r>
      <w:r w:rsidRPr="002D2E58">
        <w:t>elicense the project must be filed with FERC prior to January 1, 2022.</w:t>
      </w:r>
      <w:r>
        <w:t xml:space="preserve"> Oglethorpe Power is leading the relicensing effort. </w:t>
      </w:r>
    </w:p>
    <w:p w14:paraId="3FD6CD2F" w14:textId="77777777" w:rsidR="00FC1D77" w:rsidRPr="00801242" w:rsidRDefault="00FC1D77" w:rsidP="00817EA7">
      <w:pPr>
        <w:pStyle w:val="Heading3"/>
      </w:pPr>
      <w:r w:rsidRPr="00801242">
        <w:t>Middle Chattahoochee Project</w:t>
      </w:r>
    </w:p>
    <w:p w14:paraId="2E8A57D8" w14:textId="77777777" w:rsidR="00FC1D77" w:rsidRPr="00801242" w:rsidRDefault="00FC1D77" w:rsidP="00FC1D77">
      <w:pPr>
        <w:rPr>
          <w:i/>
        </w:rPr>
      </w:pPr>
      <w:r w:rsidRPr="00801242">
        <w:rPr>
          <w:i/>
        </w:rPr>
        <w:t xml:space="preserve">License Expires </w:t>
      </w:r>
      <w:r>
        <w:rPr>
          <w:i/>
        </w:rPr>
        <w:t>12/31/2034</w:t>
      </w:r>
    </w:p>
    <w:p w14:paraId="0F2EEF91" w14:textId="0CD73964" w:rsidR="000C1C4C" w:rsidRPr="002D2E58" w:rsidRDefault="000C1C4C" w:rsidP="000C1C4C">
      <w:r>
        <w:t xml:space="preserve">The external relicense process is scheduled to begin in 2029. A Notice of Intent to relicense the project must be filed with FERC prior to January 1, 2030. </w:t>
      </w:r>
    </w:p>
    <w:p w14:paraId="471C8A75" w14:textId="77777777" w:rsidR="00FC1D77" w:rsidRPr="00801242" w:rsidRDefault="00FC1D77" w:rsidP="00817EA7">
      <w:pPr>
        <w:pStyle w:val="Heading3"/>
      </w:pPr>
      <w:r w:rsidRPr="00801242">
        <w:t>Sinclair Project</w:t>
      </w:r>
    </w:p>
    <w:p w14:paraId="2CF880BF" w14:textId="77777777" w:rsidR="00FC1D77" w:rsidRPr="00801242" w:rsidRDefault="00FC1D77" w:rsidP="00FC1D77">
      <w:pPr>
        <w:rPr>
          <w:i/>
        </w:rPr>
      </w:pPr>
      <w:r w:rsidRPr="00801242">
        <w:rPr>
          <w:i/>
        </w:rPr>
        <w:t xml:space="preserve">License Expires </w:t>
      </w:r>
      <w:r>
        <w:rPr>
          <w:i/>
        </w:rPr>
        <w:t>4/30/2036</w:t>
      </w:r>
    </w:p>
    <w:p w14:paraId="12CE4F2F" w14:textId="77777777" w:rsidR="001944C6" w:rsidRDefault="000C1C4C" w:rsidP="001944C6">
      <w:r w:rsidRPr="002D2E58">
        <w:t xml:space="preserve">The </w:t>
      </w:r>
      <w:r>
        <w:t xml:space="preserve">external </w:t>
      </w:r>
      <w:r w:rsidRPr="002D2E58">
        <w:t xml:space="preserve">relicense process is scheduled to </w:t>
      </w:r>
      <w:r>
        <w:t>begin</w:t>
      </w:r>
      <w:r w:rsidRPr="002D2E58">
        <w:t xml:space="preserve"> in 2030</w:t>
      </w:r>
      <w:r>
        <w:t>.</w:t>
      </w:r>
      <w:r w:rsidRPr="002D2E58">
        <w:t xml:space="preserve"> </w:t>
      </w:r>
      <w:r>
        <w:t>A</w:t>
      </w:r>
      <w:r w:rsidRPr="002D2E58">
        <w:t xml:space="preserve"> Notice of Intent to </w:t>
      </w:r>
      <w:r>
        <w:t>r</w:t>
      </w:r>
      <w:r w:rsidRPr="002D2E58">
        <w:t>elicense the project must be filed with FERC prior to May 1, 2031.</w:t>
      </w:r>
    </w:p>
    <w:p w14:paraId="671D9337" w14:textId="28B3BFB5" w:rsidR="00FC1D77" w:rsidRPr="00801242" w:rsidRDefault="00FC1D77" w:rsidP="001944C6">
      <w:pPr>
        <w:pStyle w:val="Heading3"/>
        <w:keepNext w:val="0"/>
        <w:keepLines w:val="0"/>
      </w:pPr>
      <w:r w:rsidRPr="00801242">
        <w:t>North Georgia Project (includes Burton, Nacoochee, Terrora, Tallulah, Tugalo, Yonah)</w:t>
      </w:r>
    </w:p>
    <w:p w14:paraId="74A58795" w14:textId="77777777" w:rsidR="00FC1D77" w:rsidRPr="00801242" w:rsidRDefault="00FC1D77" w:rsidP="001944C6">
      <w:pPr>
        <w:rPr>
          <w:i/>
        </w:rPr>
      </w:pPr>
      <w:r w:rsidRPr="00801242">
        <w:rPr>
          <w:i/>
        </w:rPr>
        <w:t>License Expires 9/</w:t>
      </w:r>
      <w:r>
        <w:rPr>
          <w:i/>
        </w:rPr>
        <w:t>30</w:t>
      </w:r>
      <w:r w:rsidRPr="00801242">
        <w:rPr>
          <w:i/>
        </w:rPr>
        <w:t>/2036</w:t>
      </w:r>
    </w:p>
    <w:p w14:paraId="26A2CB9E" w14:textId="1045DF61" w:rsidR="000C1C4C" w:rsidRDefault="000C1C4C" w:rsidP="001944C6">
      <w:r w:rsidRPr="002D2E58">
        <w:t xml:space="preserve">The </w:t>
      </w:r>
      <w:r>
        <w:t xml:space="preserve">external </w:t>
      </w:r>
      <w:r w:rsidRPr="002D2E58">
        <w:t xml:space="preserve">relicense process is scheduled to </w:t>
      </w:r>
      <w:r>
        <w:t>begin</w:t>
      </w:r>
      <w:r w:rsidRPr="002D2E58">
        <w:t xml:space="preserve"> in 2030</w:t>
      </w:r>
      <w:r>
        <w:t>.</w:t>
      </w:r>
      <w:r w:rsidRPr="002D2E58">
        <w:t xml:space="preserve"> </w:t>
      </w:r>
      <w:r>
        <w:t>A</w:t>
      </w:r>
      <w:r w:rsidRPr="002D2E58">
        <w:t xml:space="preserve"> Notice of Intent to </w:t>
      </w:r>
      <w:r>
        <w:t>r</w:t>
      </w:r>
      <w:r w:rsidRPr="002D2E58">
        <w:t xml:space="preserve">elicense the project must be filed with </w:t>
      </w:r>
      <w:r>
        <w:t>FE</w:t>
      </w:r>
      <w:r w:rsidR="00BF1FE2">
        <w:t xml:space="preserve">RC prior to September 1, 2031. </w:t>
      </w:r>
    </w:p>
    <w:p w14:paraId="39428F0A" w14:textId="77777777" w:rsidR="00FC1D77" w:rsidRPr="00A7578A" w:rsidRDefault="00FC1D77" w:rsidP="00926B80">
      <w:pPr>
        <w:pStyle w:val="Heading3"/>
      </w:pPr>
      <w:r w:rsidRPr="00A7578A">
        <w:t>Bartletts Ferry Project</w:t>
      </w:r>
    </w:p>
    <w:p w14:paraId="49764D4C" w14:textId="77777777" w:rsidR="00FC1D77" w:rsidRPr="00801242" w:rsidRDefault="00FC1D77" w:rsidP="00D1479E">
      <w:pPr>
        <w:keepNext/>
        <w:keepLines/>
        <w:rPr>
          <w:i/>
        </w:rPr>
      </w:pPr>
      <w:r w:rsidRPr="00801242">
        <w:rPr>
          <w:i/>
        </w:rPr>
        <w:t xml:space="preserve">License Expires </w:t>
      </w:r>
      <w:r>
        <w:rPr>
          <w:i/>
        </w:rPr>
        <w:t>11/30/2044</w:t>
      </w:r>
    </w:p>
    <w:p w14:paraId="58F0DF10" w14:textId="17ECDFE9" w:rsidR="000C1C4C" w:rsidRDefault="000C1C4C" w:rsidP="00D1479E">
      <w:pPr>
        <w:keepNext/>
        <w:keepLines/>
      </w:pPr>
      <w:bookmarkStart w:id="196" w:name="_Toc530329756"/>
      <w:bookmarkEnd w:id="195"/>
      <w:r>
        <w:t>The external relicense process is scheduled to begin in 2038. A Notice of Intent to relicense the project must be filed with F</w:t>
      </w:r>
      <w:r w:rsidR="00FE461F">
        <w:t>ERC prior to December 21, 2039.</w:t>
      </w:r>
    </w:p>
    <w:p w14:paraId="093DB433" w14:textId="77777777" w:rsidR="00FC1D77" w:rsidRPr="002D2E58" w:rsidRDefault="00FC1D77" w:rsidP="00817EA7">
      <w:pPr>
        <w:pStyle w:val="Heading2"/>
        <w:rPr>
          <w:rFonts w:eastAsia="Times New Roman"/>
        </w:rPr>
      </w:pPr>
      <w:bookmarkStart w:id="197" w:name="_Toc536209156"/>
      <w:bookmarkStart w:id="198" w:name="_Hlk535242244"/>
      <w:r>
        <w:rPr>
          <w:rFonts w:eastAsia="Times New Roman"/>
        </w:rPr>
        <w:t>Requirements and Risks to Relicensing</w:t>
      </w:r>
      <w:bookmarkEnd w:id="196"/>
      <w:bookmarkEnd w:id="197"/>
    </w:p>
    <w:p w14:paraId="6A680E21" w14:textId="7C96E233" w:rsidR="00FC1D77" w:rsidRPr="0081689B" w:rsidRDefault="00FC1D77" w:rsidP="00FC1D77">
      <w:r w:rsidRPr="002D2E58">
        <w:t>During relicensing,</w:t>
      </w:r>
      <w:r>
        <w:t xml:space="preserve"> FERC may impose</w:t>
      </w:r>
      <w:r w:rsidRPr="002D2E58">
        <w:t xml:space="preserve"> </w:t>
      </w:r>
      <w:r>
        <w:t>additional license conditions</w:t>
      </w:r>
      <w:r w:rsidRPr="002D2E58">
        <w:t xml:space="preserve"> </w:t>
      </w:r>
      <w:r>
        <w:t>on Georgia Power based on</w:t>
      </w:r>
      <w:r w:rsidRPr="002D2E58">
        <w:t xml:space="preserve"> input from federal and state </w:t>
      </w:r>
      <w:r>
        <w:t xml:space="preserve">environmental and other resources </w:t>
      </w:r>
      <w:r w:rsidRPr="002D2E58">
        <w:t>agencies, non-governmental organizat</w:t>
      </w:r>
      <w:r>
        <w:t>ions, and other stakeholders.</w:t>
      </w:r>
      <w:r w:rsidR="00B40974">
        <w:t xml:space="preserve"> </w:t>
      </w:r>
      <w:r w:rsidRPr="002D2E58">
        <w:t xml:space="preserve">Outside of the FERC relicensing proceeding, </w:t>
      </w:r>
      <w:r>
        <w:t xml:space="preserve">FERC may require additional license </w:t>
      </w:r>
      <w:r w:rsidR="00711AC5">
        <w:t xml:space="preserve">conditions </w:t>
      </w:r>
      <w:r w:rsidR="00711AC5" w:rsidRPr="002D2E58">
        <w:t>during</w:t>
      </w:r>
      <w:r w:rsidRPr="002D2E58">
        <w:t xml:space="preserve"> a license term</w:t>
      </w:r>
      <w:r>
        <w:t>, including in some instances</w:t>
      </w:r>
      <w:r w:rsidR="00245E2C">
        <w:t>,</w:t>
      </w:r>
      <w:r>
        <w:t xml:space="preserve"> requirements imposed</w:t>
      </w:r>
      <w:r w:rsidRPr="002D2E58">
        <w:t xml:space="preserve"> by </w:t>
      </w:r>
      <w:r>
        <w:t>federal and state agencies</w:t>
      </w:r>
      <w:r w:rsidRPr="002D2E58">
        <w:t>.</w:t>
      </w:r>
      <w:r w:rsidR="00B40974">
        <w:t xml:space="preserve"> </w:t>
      </w:r>
      <w:r>
        <w:t>T</w:t>
      </w:r>
      <w:r w:rsidRPr="002D2E58">
        <w:t xml:space="preserve">hese requirements </w:t>
      </w:r>
      <w:r>
        <w:t>may result in</w:t>
      </w:r>
      <w:r w:rsidRPr="002D2E58">
        <w:t xml:space="preserve"> </w:t>
      </w:r>
      <w:r w:rsidR="00F07F00">
        <w:t>loss of capacity and/or generation due to increased minimum flows, seasonal limits on generation, increased water withdrawals, limits on reservoir fluctuation</w:t>
      </w:r>
      <w:r w:rsidR="00B40974">
        <w:t>s</w:t>
      </w:r>
      <w:r w:rsidR="00F07F00">
        <w:t>, or dam removal. Additionally, reductions in peaking capability, ancillary services (e.g., voltage control), and operational flexibility could arise due</w:t>
      </w:r>
      <w:r w:rsidR="00B40974">
        <w:t xml:space="preserve"> to</w:t>
      </w:r>
      <w:r w:rsidR="00F07F00">
        <w:t xml:space="preserve"> </w:t>
      </w:r>
      <w:r w:rsidR="005D04D7">
        <w:t>imposed</w:t>
      </w:r>
      <w:r w:rsidR="00B40974">
        <w:t xml:space="preserve"> ramping rates </w:t>
      </w:r>
      <w:r w:rsidR="008A795D">
        <w:t>or</w:t>
      </w:r>
      <w:r w:rsidR="00B40974">
        <w:t xml:space="preserve"> modifications to current operational regimes. Finally, additional license requirements could come in the form of increased capital investment such as installation of facilities and equipment for environmental purposes (e.g., dissolved oxygen </w:t>
      </w:r>
      <w:r w:rsidR="005D04D7">
        <w:t>or</w:t>
      </w:r>
      <w:r w:rsidR="00B40974">
        <w:t xml:space="preserve"> fish passage</w:t>
      </w:r>
      <w:r w:rsidR="005D04D7">
        <w:t xml:space="preserve"> facilities</w:t>
      </w:r>
      <w:r w:rsidR="00B40974">
        <w:t xml:space="preserve">), installation and enhancement of recreational facilities, shoreline changes, habitat enhancements, monitoring and surveillance of environmental parameters, </w:t>
      </w:r>
      <w:r w:rsidR="005D04D7">
        <w:t>or</w:t>
      </w:r>
      <w:r w:rsidR="00B40974">
        <w:t xml:space="preserve"> replacement of capacity.</w:t>
      </w:r>
      <w:bookmarkEnd w:id="183"/>
      <w:bookmarkEnd w:id="198"/>
      <w:r>
        <w:br w:type="page"/>
      </w:r>
    </w:p>
    <w:p w14:paraId="4E8A3B94" w14:textId="303438E4" w:rsidR="00A61DC7" w:rsidRDefault="00A61DC7" w:rsidP="006549EE">
      <w:pPr>
        <w:pStyle w:val="Heading1"/>
      </w:pPr>
      <w:bookmarkStart w:id="199" w:name="_Ref531354561"/>
      <w:bookmarkStart w:id="200" w:name="_Toc536209157"/>
      <w:bookmarkEnd w:id="184"/>
      <w:r>
        <w:t>SUPPLY-SIDE STRATEGY</w:t>
      </w:r>
      <w:bookmarkEnd w:id="185"/>
      <w:bookmarkEnd w:id="186"/>
      <w:bookmarkEnd w:id="199"/>
      <w:bookmarkEnd w:id="200"/>
    </w:p>
    <w:p w14:paraId="34367F39" w14:textId="1919F5B9" w:rsidR="00AB549D" w:rsidRDefault="00BC0965" w:rsidP="00AB549D">
      <w:r>
        <w:t xml:space="preserve">The </w:t>
      </w:r>
      <w:r w:rsidR="00AB549D">
        <w:t xml:space="preserve">Company continues to </w:t>
      </w:r>
      <w:r>
        <w:t>invest</w:t>
      </w:r>
      <w:r w:rsidR="00C139E5">
        <w:t xml:space="preserve"> in </w:t>
      </w:r>
      <w:r>
        <w:t xml:space="preserve">the generation fleet </w:t>
      </w:r>
      <w:r w:rsidR="00402CE4">
        <w:t xml:space="preserve">to ensure </w:t>
      </w:r>
      <w:r w:rsidR="00DE122C">
        <w:t>reliable</w:t>
      </w:r>
      <w:r w:rsidR="000F25D9">
        <w:t xml:space="preserve"> and affordable</w:t>
      </w:r>
      <w:r w:rsidR="00DE122C">
        <w:t xml:space="preserve"> </w:t>
      </w:r>
      <w:r>
        <w:t xml:space="preserve">electric service </w:t>
      </w:r>
      <w:r w:rsidR="00AB549D">
        <w:t>to customers</w:t>
      </w:r>
      <w:r>
        <w:t>.</w:t>
      </w:r>
      <w:r w:rsidR="00AB549D">
        <w:t xml:space="preserve"> </w:t>
      </w:r>
      <w:r>
        <w:t>T</w:t>
      </w:r>
      <w:r w:rsidR="00AB549D" w:rsidRPr="009806DF">
        <w:t>he 2019 IRP</w:t>
      </w:r>
      <w:r w:rsidR="00AB549D">
        <w:t xml:space="preserve"> supply-side strategy</w:t>
      </w:r>
      <w:r w:rsidR="00AB549D" w:rsidRPr="009806DF">
        <w:t xml:space="preserve"> reflects the Company’s </w:t>
      </w:r>
      <w:r w:rsidR="00AB549D">
        <w:t xml:space="preserve">previous resource commitments, </w:t>
      </w:r>
      <w:r w:rsidR="00AB549D" w:rsidRPr="009806DF">
        <w:t>procurement</w:t>
      </w:r>
      <w:r w:rsidR="00AB549D">
        <w:t xml:space="preserve"> of competitive </w:t>
      </w:r>
      <w:r w:rsidR="00402CE4">
        <w:t>r</w:t>
      </w:r>
      <w:r w:rsidR="00AB549D" w:rsidRPr="009806DF">
        <w:t>enewable resource</w:t>
      </w:r>
      <w:r w:rsidR="00AB549D">
        <w:t xml:space="preserve">s, </w:t>
      </w:r>
      <w:r w:rsidR="0074141E">
        <w:t xml:space="preserve">proposals to investigate the viability </w:t>
      </w:r>
      <w:r w:rsidR="00AB549D">
        <w:t xml:space="preserve">of storage technology, investment </w:t>
      </w:r>
      <w:r w:rsidR="002441B5">
        <w:t xml:space="preserve">in </w:t>
      </w:r>
      <w:r w:rsidR="00AB549D">
        <w:t>hydro-</w:t>
      </w:r>
      <w:r w:rsidR="00AB549D" w:rsidRPr="009806DF">
        <w:t xml:space="preserve">powered resources, </w:t>
      </w:r>
      <w:r w:rsidR="00AB549D">
        <w:t xml:space="preserve">and </w:t>
      </w:r>
      <w:r w:rsidR="00C139E5" w:rsidRPr="009806DF">
        <w:t xml:space="preserve">risk </w:t>
      </w:r>
      <w:r w:rsidR="00AB549D" w:rsidRPr="009806DF">
        <w:t>mitigation strategies for large coal</w:t>
      </w:r>
      <w:r w:rsidR="00AB549D">
        <w:t>-</w:t>
      </w:r>
      <w:r w:rsidR="00AB549D" w:rsidRPr="009806DF">
        <w:t>fired plants</w:t>
      </w:r>
      <w:r w:rsidR="00AB549D">
        <w:t>.</w:t>
      </w:r>
      <w:r w:rsidR="00AB549D" w:rsidRPr="009806DF">
        <w:t xml:space="preserve"> </w:t>
      </w:r>
      <w:r w:rsidR="00AB549D" w:rsidRPr="00A35B3B">
        <w:t xml:space="preserve">A complete list of </w:t>
      </w:r>
      <w:r w:rsidR="00AB549D">
        <w:t xml:space="preserve">Georgia Power’s </w:t>
      </w:r>
      <w:r w:rsidR="00AB549D" w:rsidRPr="00A35B3B">
        <w:t xml:space="preserve">existing and committed units is contained in the Resource Ledger in Technical Appendix Volume </w:t>
      </w:r>
      <w:r w:rsidR="00AB549D">
        <w:t>2</w:t>
      </w:r>
      <w:r w:rsidR="00AB549D" w:rsidRPr="00A35B3B">
        <w:t>.</w:t>
      </w:r>
      <w:r w:rsidR="00D93B9F">
        <w:t xml:space="preserve"> </w:t>
      </w:r>
    </w:p>
    <w:p w14:paraId="298C8678" w14:textId="69AC2D90" w:rsidR="002749C1" w:rsidRPr="009806DF" w:rsidRDefault="00B97523" w:rsidP="00817EA7">
      <w:pPr>
        <w:pStyle w:val="Heading2"/>
      </w:pPr>
      <w:bookmarkStart w:id="201" w:name="_Toc536209158"/>
      <w:bookmarkStart w:id="202" w:name="_Hlk527048152"/>
      <w:r>
        <w:t>Previous Resource Commitments</w:t>
      </w:r>
      <w:bookmarkEnd w:id="201"/>
    </w:p>
    <w:p w14:paraId="0E6968A3" w14:textId="77777777" w:rsidR="00B1735B" w:rsidRDefault="002749C1" w:rsidP="00B1735B">
      <w:r w:rsidRPr="00A35B3B">
        <w:t xml:space="preserve">The supply-side plan reflects previous </w:t>
      </w:r>
      <w:r w:rsidR="00D224DC">
        <w:t xml:space="preserve">resource </w:t>
      </w:r>
      <w:r w:rsidRPr="00A35B3B">
        <w:t>decisions and actions resulting from the 2016 IRP, including the retirements of Pla</w:t>
      </w:r>
      <w:r w:rsidR="007B36A3">
        <w:t>nt Mitchell Units 3, 4A, and 4B,</w:t>
      </w:r>
      <w:r w:rsidRPr="00A35B3B">
        <w:t xml:space="preserve"> Plant Kraft Unit 1 CT</w:t>
      </w:r>
      <w:r w:rsidR="007B36A3">
        <w:t>,</w:t>
      </w:r>
      <w:r w:rsidRPr="00A35B3B">
        <w:t xml:space="preserve"> and the sale of the Company’s ownership in</w:t>
      </w:r>
      <w:r w:rsidR="00D224DC">
        <w:t xml:space="preserve"> the</w:t>
      </w:r>
      <w:r w:rsidRPr="00A35B3B">
        <w:t xml:space="preserve"> Intercession City</w:t>
      </w:r>
      <w:r w:rsidR="00D224DC">
        <w:t xml:space="preserve"> CT</w:t>
      </w:r>
      <w:r w:rsidRPr="00A35B3B">
        <w:t>. The plan also includes</w:t>
      </w:r>
      <w:r w:rsidR="007B36A3">
        <w:t>:</w:t>
      </w:r>
      <w:r w:rsidR="00C139E5" w:rsidRPr="00A35B3B">
        <w:t xml:space="preserve"> </w:t>
      </w:r>
      <w:r w:rsidR="00292296">
        <w:t>m</w:t>
      </w:r>
      <w:r w:rsidR="00C139E5" w:rsidRPr="00A35B3B">
        <w:t>ilitary</w:t>
      </w:r>
      <w:r w:rsidR="00292296">
        <w:t>, university</w:t>
      </w:r>
      <w:r w:rsidR="001557A6">
        <w:t>,</w:t>
      </w:r>
      <w:r w:rsidR="00C139E5" w:rsidRPr="00A35B3B">
        <w:t xml:space="preserve"> </w:t>
      </w:r>
      <w:r w:rsidR="00C139E5">
        <w:t xml:space="preserve">and Community </w:t>
      </w:r>
      <w:r w:rsidR="00C139E5" w:rsidRPr="00A35B3B">
        <w:t>Solar</w:t>
      </w:r>
      <w:r w:rsidR="00C139E5">
        <w:t xml:space="preserve"> projects approved in the 2016 IRP Order</w:t>
      </w:r>
      <w:r w:rsidR="005816CC">
        <w:t>;</w:t>
      </w:r>
      <w:r w:rsidR="00C139E5">
        <w:t xml:space="preserve"> </w:t>
      </w:r>
      <w:r w:rsidR="00B1735B" w:rsidRPr="00A35B3B">
        <w:t>capacity procured</w:t>
      </w:r>
      <w:r w:rsidR="00B1735B">
        <w:t xml:space="preserve"> and</w:t>
      </w:r>
      <w:r w:rsidR="00B1735B" w:rsidRPr="00A35B3B">
        <w:t xml:space="preserve"> planned </w:t>
      </w:r>
      <w:r w:rsidR="00B1735B">
        <w:t>under</w:t>
      </w:r>
      <w:r w:rsidR="00B1735B" w:rsidRPr="00A35B3B">
        <w:t xml:space="preserve"> the Company’s REDI</w:t>
      </w:r>
      <w:r w:rsidR="00B1735B">
        <w:t xml:space="preserve"> Program; and p</w:t>
      </w:r>
      <w:r w:rsidR="00B1735B" w:rsidRPr="00A35B3B">
        <w:t xml:space="preserve">roxy </w:t>
      </w:r>
      <w:r w:rsidR="00B1735B">
        <w:t xml:space="preserve">biomass </w:t>
      </w:r>
      <w:r w:rsidR="00B1735B" w:rsidRPr="00A35B3B">
        <w:t>QFs</w:t>
      </w:r>
      <w:r w:rsidR="00B1735B">
        <w:t xml:space="preserve">. </w:t>
      </w:r>
    </w:p>
    <w:p w14:paraId="53E2E37C" w14:textId="3854712E" w:rsidR="00B1735B" w:rsidRDefault="00B1735B" w:rsidP="006549EE">
      <w:r>
        <w:t xml:space="preserve">Additionally, the 2019 IRP reflects </w:t>
      </w:r>
      <w:r w:rsidRPr="00E22DDC">
        <w:t>the November 2021 and November 2022 target in-service</w:t>
      </w:r>
      <w:r>
        <w:t xml:space="preserve"> dates for Plant Vogtle Units 3-4</w:t>
      </w:r>
      <w:r w:rsidRPr="00E22DDC">
        <w:t xml:space="preserve">, respectively, </w:t>
      </w:r>
      <w:r>
        <w:t xml:space="preserve">as approved by the Commission </w:t>
      </w:r>
      <w:r w:rsidRPr="00E22DDC">
        <w:t xml:space="preserve">in </w:t>
      </w:r>
      <w:r>
        <w:t>the</w:t>
      </w:r>
      <w:r w:rsidRPr="00E22DDC">
        <w:t xml:space="preserve"> 17th </w:t>
      </w:r>
      <w:r w:rsidR="000472B9" w:rsidRPr="00E22DDC">
        <w:t xml:space="preserve">VCM </w:t>
      </w:r>
      <w:r w:rsidRPr="00E22DDC">
        <w:t>Order filed January 11, 2018</w:t>
      </w:r>
      <w:r>
        <w:t xml:space="preserve">. </w:t>
      </w:r>
      <w:r w:rsidRPr="00E22DDC">
        <w:t xml:space="preserve">Since the 2016 IRP, significant progress has been made </w:t>
      </w:r>
      <w:r>
        <w:t xml:space="preserve">at </w:t>
      </w:r>
      <w:r w:rsidRPr="00E22DDC">
        <w:t>Plant Vogtle</w:t>
      </w:r>
      <w:r>
        <w:t xml:space="preserve"> Units 3-4</w:t>
      </w:r>
      <w:r w:rsidRPr="00E22DDC">
        <w:t xml:space="preserve">, as described in the </w:t>
      </w:r>
      <w:r>
        <w:t xml:space="preserve">semi-annual </w:t>
      </w:r>
      <w:r w:rsidR="00365339">
        <w:t xml:space="preserve">VCM </w:t>
      </w:r>
      <w:r w:rsidRPr="00E22DDC">
        <w:t>report filings in Docket No. 29849.</w:t>
      </w:r>
      <w:r>
        <w:t xml:space="preserve"> </w:t>
      </w:r>
    </w:p>
    <w:p w14:paraId="6E7CF1CA" w14:textId="7AD18F83" w:rsidR="00A61DC7" w:rsidRPr="009806DF" w:rsidRDefault="00B97523" w:rsidP="00817EA7">
      <w:pPr>
        <w:pStyle w:val="Heading2"/>
      </w:pPr>
      <w:bookmarkStart w:id="203" w:name="_Toc536209159"/>
      <w:r>
        <w:t>Decertification</w:t>
      </w:r>
      <w:r w:rsidR="00C5345D">
        <w:t xml:space="preserve"> of Resources</w:t>
      </w:r>
      <w:bookmarkEnd w:id="203"/>
    </w:p>
    <w:bookmarkEnd w:id="202"/>
    <w:p w14:paraId="148E55F1" w14:textId="6C20733F" w:rsidR="00DE122C" w:rsidRDefault="00A61DC7" w:rsidP="00DE122C">
      <w:r w:rsidRPr="00A35B3B">
        <w:t>The results of the economic analysis for Plant Hammond Units 1-4 and Plant McIntosh Unit 1 show that it is not economic</w:t>
      </w:r>
      <w:r w:rsidR="001C2170">
        <w:t>al</w:t>
      </w:r>
      <w:r w:rsidRPr="00A35B3B">
        <w:t xml:space="preserve"> to invest in these plants to allow for continued operations.</w:t>
      </w:r>
      <w:r w:rsidR="00642630">
        <w:t xml:space="preserve"> The </w:t>
      </w:r>
      <w:r w:rsidR="00C139E5">
        <w:t xml:space="preserve">combination of forecasted low gas prices, </w:t>
      </w:r>
      <w:r w:rsidR="00225F82">
        <w:t>modest</w:t>
      </w:r>
      <w:r w:rsidR="00C139E5">
        <w:t xml:space="preserve"> load growth, and continued </w:t>
      </w:r>
      <w:r w:rsidR="00DE122C">
        <w:t xml:space="preserve">additional </w:t>
      </w:r>
      <w:r w:rsidR="00C139E5">
        <w:t xml:space="preserve">environmental </w:t>
      </w:r>
      <w:r w:rsidR="00903507">
        <w:t>compliance costs</w:t>
      </w:r>
      <w:r w:rsidR="00642630">
        <w:t xml:space="preserve"> create economic challenges for these plants. </w:t>
      </w:r>
      <w:r w:rsidR="003F2D2C">
        <w:t>B</w:t>
      </w:r>
      <w:r w:rsidR="00DE122C">
        <w:t>oth sites</w:t>
      </w:r>
      <w:r w:rsidR="003F2D2C">
        <w:t xml:space="preserve"> </w:t>
      </w:r>
      <w:r w:rsidR="00DE122C">
        <w:t xml:space="preserve">require investment in additional environmental controls to comply with </w:t>
      </w:r>
      <w:r w:rsidR="00217097">
        <w:t>f</w:t>
      </w:r>
      <w:r w:rsidR="00DE122C">
        <w:t xml:space="preserve">ederal and </w:t>
      </w:r>
      <w:r w:rsidR="00217097">
        <w:t>s</w:t>
      </w:r>
      <w:r w:rsidR="00DE122C">
        <w:t>tate rules</w:t>
      </w:r>
      <w:r w:rsidR="00A7646E">
        <w:t xml:space="preserve"> and regulations</w:t>
      </w:r>
      <w:r w:rsidR="003F2D2C">
        <w:t>. These costs</w:t>
      </w:r>
      <w:r w:rsidR="00DE122C">
        <w:t xml:space="preserve"> </w:t>
      </w:r>
      <w:r w:rsidR="003F2D2C">
        <w:t>are</w:t>
      </w:r>
      <w:r w:rsidR="00DE122C">
        <w:t xml:space="preserve"> require</w:t>
      </w:r>
      <w:r w:rsidR="003F2D2C">
        <w:t>d</w:t>
      </w:r>
      <w:r w:rsidR="00DE122C">
        <w:t xml:space="preserve"> in addition to traditional </w:t>
      </w:r>
      <w:r w:rsidR="003F2D2C">
        <w:t xml:space="preserve">retrofit </w:t>
      </w:r>
      <w:r w:rsidR="00DE122C">
        <w:t>capital and O&amp;M costs.</w:t>
      </w:r>
    </w:p>
    <w:p w14:paraId="19CC9DD0" w14:textId="581D6F3D" w:rsidR="00A7646E" w:rsidRDefault="00225F82" w:rsidP="00A7646E">
      <w:r>
        <w:t>In accordance</w:t>
      </w:r>
      <w:r w:rsidR="0067206C">
        <w:t xml:space="preserve"> with the decision in the 2016 IRP, the Company has continued to significantly reduce spending on both Hammond </w:t>
      </w:r>
      <w:r w:rsidR="00BF1FE2">
        <w:t xml:space="preserve">Units 1-4 and McIntosh Unit 1. </w:t>
      </w:r>
      <w:r w:rsidR="001A79BA">
        <w:t xml:space="preserve">Additionally, as outlined in the decertification application, retirement of these units does not drive the need for new transmission projects, nor does it impact the Company’s ability to maintain </w:t>
      </w:r>
      <w:r w:rsidR="007D18A2">
        <w:t xml:space="preserve">a </w:t>
      </w:r>
      <w:r w:rsidR="001A79BA">
        <w:t xml:space="preserve">sufficient </w:t>
      </w:r>
      <w:r w:rsidR="00642630">
        <w:t>reserve</w:t>
      </w:r>
      <w:r w:rsidR="007D18A2">
        <w:t xml:space="preserve"> margin</w:t>
      </w:r>
      <w:r w:rsidR="001B3C42">
        <w:t xml:space="preserve"> through 2028</w:t>
      </w:r>
      <w:r w:rsidR="00642630">
        <w:t xml:space="preserve">. </w:t>
      </w:r>
      <w:r w:rsidR="00A61DC7" w:rsidRPr="00A35B3B">
        <w:t>Therefore,</w:t>
      </w:r>
      <w:r w:rsidR="008559B8">
        <w:t xml:space="preserve"> due to the combination of these factors,</w:t>
      </w:r>
      <w:r w:rsidR="00A61DC7" w:rsidRPr="00A35B3B">
        <w:t xml:space="preserve"> the supply-side plan reflects the retirement of these resources. </w:t>
      </w:r>
      <w:r w:rsidR="009B7CC5">
        <w:t xml:space="preserve">It should be noted that even though the retirement of Plant Hammond Units 1-4 and Plant McIntosh Unit 1 does not impact the ability to maintain a sufficient reserve margin, these units have aided the resiliency and reliability of the System since the 2016 IRP. </w:t>
      </w:r>
      <w:r w:rsidR="00A61DC7" w:rsidRPr="00A35B3B">
        <w:t xml:space="preserve">Details regarding the assumptions, compliance strategies, and economic </w:t>
      </w:r>
      <w:r w:rsidR="00DE7788" w:rsidRPr="00A35B3B">
        <w:t>analys</w:t>
      </w:r>
      <w:r w:rsidR="00DE7788">
        <w:t>e</w:t>
      </w:r>
      <w:r w:rsidR="00DE7788" w:rsidRPr="00A35B3B">
        <w:t>s</w:t>
      </w:r>
      <w:r w:rsidR="00A61DC7" w:rsidRPr="00A35B3B">
        <w:t xml:space="preserve"> for Plant Hammond Units 1-4 and Plant McIntosh Unit 1 are contained</w:t>
      </w:r>
      <w:r w:rsidR="00B935A8">
        <w:t xml:space="preserve"> </w:t>
      </w:r>
      <w:r w:rsidR="00A61DC7" w:rsidRPr="00A35B3B">
        <w:t xml:space="preserve">in the </w:t>
      </w:r>
      <w:r w:rsidR="00DE122C">
        <w:t xml:space="preserve">ECS and </w:t>
      </w:r>
      <w:r w:rsidR="00DE122C" w:rsidRPr="00A35B3B">
        <w:t xml:space="preserve">Unit Retirement Study </w:t>
      </w:r>
      <w:r w:rsidR="00DE122C">
        <w:t>within</w:t>
      </w:r>
      <w:r w:rsidR="00DE122C" w:rsidRPr="00A35B3B">
        <w:t xml:space="preserve"> </w:t>
      </w:r>
      <w:r w:rsidR="00A61DC7" w:rsidRPr="00A35B3B">
        <w:t>Technical Appendix Volume 2</w:t>
      </w:r>
      <w:r w:rsidR="00B21FCB">
        <w:t>.</w:t>
      </w:r>
      <w:r w:rsidR="00A7646E">
        <w:t xml:space="preserve"> </w:t>
      </w:r>
    </w:p>
    <w:p w14:paraId="4C377D17" w14:textId="5CAC861A" w:rsidR="00EA2969" w:rsidRDefault="00A61DC7" w:rsidP="006549EE">
      <w:r w:rsidRPr="00A35B3B">
        <w:t xml:space="preserve">The Company also </w:t>
      </w:r>
      <w:r w:rsidR="008C5104">
        <w:t>analyzed the economics</w:t>
      </w:r>
      <w:r w:rsidRPr="00A35B3B">
        <w:t xml:space="preserve"> for continued operation at three small </w:t>
      </w:r>
      <w:r w:rsidR="009649EE">
        <w:t>hydro</w:t>
      </w:r>
      <w:r w:rsidRPr="00A35B3B">
        <w:t xml:space="preserve"> plants. The results of this analysis indicate it is not economic</w:t>
      </w:r>
      <w:r w:rsidR="001C2170">
        <w:t>al</w:t>
      </w:r>
      <w:r w:rsidRPr="00A35B3B">
        <w:t xml:space="preserve"> to continue </w:t>
      </w:r>
      <w:r w:rsidR="008C5104">
        <w:t>investment</w:t>
      </w:r>
      <w:r w:rsidR="006609B6">
        <w:t xml:space="preserve"> in</w:t>
      </w:r>
      <w:r w:rsidRPr="00A35B3B">
        <w:t xml:space="preserve"> </w:t>
      </w:r>
      <w:r w:rsidR="00E1459B">
        <w:t xml:space="preserve">Plant Estatoah Unit 1, </w:t>
      </w:r>
      <w:r w:rsidRPr="00A35B3B">
        <w:t>Plant Langdale Units 5</w:t>
      </w:r>
      <w:r w:rsidR="003A61CE">
        <w:t>-</w:t>
      </w:r>
      <w:r w:rsidRPr="00A35B3B">
        <w:t xml:space="preserve">6, </w:t>
      </w:r>
      <w:r w:rsidR="00E1459B">
        <w:t xml:space="preserve">or </w:t>
      </w:r>
      <w:r w:rsidRPr="00A35B3B">
        <w:t>Plant Riverview Units 1</w:t>
      </w:r>
      <w:r w:rsidR="003A61CE">
        <w:t>-</w:t>
      </w:r>
      <w:r w:rsidR="009E0E85">
        <w:t>2.</w:t>
      </w:r>
      <w:r w:rsidR="0046067B">
        <w:t xml:space="preserve"> </w:t>
      </w:r>
      <w:r w:rsidR="005816CC">
        <w:t>A</w:t>
      </w:r>
      <w:r w:rsidR="009E0E85">
        <w:t xml:space="preserve">s discussed in </w:t>
      </w:r>
      <w:r w:rsidR="00B05B41">
        <w:fldChar w:fldCharType="begin"/>
      </w:r>
      <w:r w:rsidR="00B05B41">
        <w:instrText xml:space="preserve"> REF _Ref527048130 \r \h </w:instrText>
      </w:r>
      <w:r w:rsidR="00B05B41">
        <w:fldChar w:fldCharType="separate"/>
      </w:r>
      <w:r w:rsidR="00F33DA2">
        <w:t>CHAPTER 9</w:t>
      </w:r>
      <w:r w:rsidR="00B05B41">
        <w:fldChar w:fldCharType="end"/>
      </w:r>
      <w:r w:rsidR="009E0E85">
        <w:t>, t</w:t>
      </w:r>
      <w:r w:rsidR="00164BBC">
        <w:t xml:space="preserve">hese resources do not have significant </w:t>
      </w:r>
      <w:r w:rsidR="00225F82">
        <w:t xml:space="preserve">impacts on </w:t>
      </w:r>
      <w:r w:rsidR="00164BBC">
        <w:t>the local communities</w:t>
      </w:r>
      <w:r w:rsidR="007B36A3">
        <w:t xml:space="preserve">, and </w:t>
      </w:r>
      <w:r w:rsidR="009E0E85">
        <w:t>n</w:t>
      </w:r>
      <w:r w:rsidR="009E0E85">
        <w:rPr>
          <w:rFonts w:eastAsia="Times New Roman" w:cs="Arial"/>
        </w:rPr>
        <w:t xml:space="preserve">atural resource </w:t>
      </w:r>
      <w:r w:rsidR="00D2518F" w:rsidRPr="00B61856">
        <w:rPr>
          <w:rFonts w:eastAsia="Times New Roman" w:cs="Arial"/>
        </w:rPr>
        <w:t>agencies</w:t>
      </w:r>
      <w:r w:rsidR="00D2518F" w:rsidRPr="00B61856">
        <w:t xml:space="preserve"> are supportive of retirement.</w:t>
      </w:r>
      <w:r w:rsidRPr="00A35B3B">
        <w:t xml:space="preserve"> Therefore, the supply-side p</w:t>
      </w:r>
      <w:r w:rsidR="00CE4B36">
        <w:t>l</w:t>
      </w:r>
      <w:r w:rsidRPr="00A35B3B">
        <w:t>an reflects the retirement of these</w:t>
      </w:r>
      <w:r w:rsidR="005816CC">
        <w:t xml:space="preserve"> hydro</w:t>
      </w:r>
      <w:r w:rsidRPr="00A35B3B">
        <w:t xml:space="preserve"> resources.</w:t>
      </w:r>
      <w:r w:rsidR="00905E65" w:rsidRPr="00905E65">
        <w:t xml:space="preserve"> </w:t>
      </w:r>
      <w:r w:rsidR="00905E65">
        <w:t>E</w:t>
      </w:r>
      <w:r w:rsidR="00905E65" w:rsidRPr="00A35B3B">
        <w:t xml:space="preserve">conomic </w:t>
      </w:r>
      <w:r w:rsidR="00CE4B36">
        <w:t>analyses</w:t>
      </w:r>
      <w:r w:rsidR="00CE4B36" w:rsidRPr="00A35B3B">
        <w:t xml:space="preserve"> </w:t>
      </w:r>
      <w:r w:rsidR="00905E65" w:rsidRPr="00A35B3B">
        <w:t>for</w:t>
      </w:r>
      <w:r w:rsidR="00905E65">
        <w:t xml:space="preserve"> these units </w:t>
      </w:r>
      <w:r w:rsidR="002F370B">
        <w:t>are</w:t>
      </w:r>
      <w:r w:rsidR="00905E65">
        <w:t xml:space="preserve"> contained in </w:t>
      </w:r>
      <w:r w:rsidR="00905E65" w:rsidRPr="00A35B3B">
        <w:t xml:space="preserve">the Unit Retirement Study </w:t>
      </w:r>
      <w:r w:rsidR="00B935A8">
        <w:t>with</w:t>
      </w:r>
      <w:r w:rsidR="00905E65" w:rsidRPr="00A35B3B">
        <w:t>in Technical Appendix Volume 2</w:t>
      </w:r>
      <w:r w:rsidR="00905E65">
        <w:t>.</w:t>
      </w:r>
    </w:p>
    <w:p w14:paraId="44DBB379" w14:textId="799739B3" w:rsidR="00A61DC7" w:rsidRPr="009806DF" w:rsidRDefault="00B97523" w:rsidP="00817EA7">
      <w:pPr>
        <w:pStyle w:val="Heading2"/>
      </w:pPr>
      <w:bookmarkStart w:id="204" w:name="_Toc536209160"/>
      <w:r>
        <w:t>Certification</w:t>
      </w:r>
      <w:r w:rsidR="005816CC">
        <w:t xml:space="preserve"> of Additional Capacity</w:t>
      </w:r>
      <w:bookmarkEnd w:id="204"/>
    </w:p>
    <w:p w14:paraId="7EC34F07" w14:textId="0AB366A2" w:rsidR="00B86BA6" w:rsidRDefault="00B86BA6" w:rsidP="006549EE">
      <w:r>
        <w:t>The Company is</w:t>
      </w:r>
      <w:r w:rsidR="00CE4B36">
        <w:t xml:space="preserve"> </w:t>
      </w:r>
      <w:r w:rsidR="00DE7788">
        <w:t>proposing</w:t>
      </w:r>
      <w:r w:rsidR="00CE4B36">
        <w:t xml:space="preserve"> to</w:t>
      </w:r>
      <w:r>
        <w:t xml:space="preserve"> </w:t>
      </w:r>
      <w:r w:rsidR="00217097">
        <w:t>bring</w:t>
      </w:r>
      <w:r w:rsidR="00CE4B36">
        <w:t xml:space="preserve"> </w:t>
      </w:r>
      <w:r w:rsidR="00DE7788">
        <w:t>25</w:t>
      </w:r>
      <w:r w:rsidR="00726079">
        <w:t xml:space="preserve"> </w:t>
      </w:r>
      <w:r w:rsidR="00DE7788">
        <w:t xml:space="preserve">MW of </w:t>
      </w:r>
      <w:r w:rsidR="00DD7A83">
        <w:t xml:space="preserve">Plant </w:t>
      </w:r>
      <w:r>
        <w:t xml:space="preserve">Scherer </w:t>
      </w:r>
      <w:r w:rsidR="00DD7A83">
        <w:t xml:space="preserve">Unit </w:t>
      </w:r>
      <w:r>
        <w:t xml:space="preserve">3 wholesale capacity </w:t>
      </w:r>
      <w:r w:rsidR="002F370B">
        <w:t>in</w:t>
      </w:r>
      <w:r w:rsidR="007B36A3">
        <w:t>to</w:t>
      </w:r>
      <w:r w:rsidR="002F370B">
        <w:t xml:space="preserve"> </w:t>
      </w:r>
      <w:r>
        <w:t>retail</w:t>
      </w:r>
      <w:r w:rsidR="008134F5">
        <w:t xml:space="preserve"> </w:t>
      </w:r>
      <w:r w:rsidR="00CE4B36">
        <w:t xml:space="preserve">service </w:t>
      </w:r>
      <w:r w:rsidR="00217097">
        <w:t xml:space="preserve">under the provisions of </w:t>
      </w:r>
      <w:r w:rsidR="008134F5">
        <w:t xml:space="preserve">the </w:t>
      </w:r>
      <w:r w:rsidR="005816CC">
        <w:t>Commission’s July 30, 2008 Order in Docket No. 26550</w:t>
      </w:r>
      <w:r>
        <w:t xml:space="preserve">. Plant Scherer is the </w:t>
      </w:r>
      <w:r w:rsidR="0046067B">
        <w:t xml:space="preserve">most economical </w:t>
      </w:r>
      <w:r>
        <w:t>coal pl</w:t>
      </w:r>
      <w:r w:rsidR="007332F3">
        <w:t xml:space="preserve">ant </w:t>
      </w:r>
      <w:r w:rsidR="00C939B4">
        <w:t>in the</w:t>
      </w:r>
      <w:r w:rsidR="007332F3">
        <w:t xml:space="preserve"> Georgia Power</w:t>
      </w:r>
      <w:r w:rsidR="00C939B4">
        <w:t xml:space="preserve"> fleet</w:t>
      </w:r>
      <w:r w:rsidR="007332F3">
        <w:t xml:space="preserve"> </w:t>
      </w:r>
      <w:r>
        <w:t xml:space="preserve">and continues to benefit customers. As economic pressure persists for </w:t>
      </w:r>
      <w:r w:rsidR="0067206C">
        <w:t xml:space="preserve">older </w:t>
      </w:r>
      <w:r>
        <w:t xml:space="preserve">coal units in Georgia, </w:t>
      </w:r>
      <w:r w:rsidR="006609B6">
        <w:t>acquiring additional capacity associated with</w:t>
      </w:r>
      <w:r>
        <w:t xml:space="preserve"> Plant Scherer is important to the Company’s ability to provide generation diversity while supporting </w:t>
      </w:r>
      <w:r w:rsidR="006609B6">
        <w:t xml:space="preserve">reliable </w:t>
      </w:r>
      <w:r w:rsidR="00A7646E">
        <w:t xml:space="preserve">and resilient </w:t>
      </w:r>
      <w:r w:rsidR="00DE7788">
        <w:t>operations.</w:t>
      </w:r>
      <w:r w:rsidR="00A672E0">
        <w:t xml:space="preserve"> This certification request is further discussed </w:t>
      </w:r>
      <w:r w:rsidR="00461251">
        <w:t xml:space="preserve">in </w:t>
      </w:r>
      <w:r w:rsidR="00B05B41">
        <w:fldChar w:fldCharType="begin"/>
      </w:r>
      <w:r w:rsidR="00B05B41">
        <w:instrText xml:space="preserve"> REF _Ref532996905 \r \h </w:instrText>
      </w:r>
      <w:r w:rsidR="00B05B41">
        <w:fldChar w:fldCharType="separate"/>
      </w:r>
      <w:r w:rsidR="00F33DA2">
        <w:t>CHAPTER 11</w:t>
      </w:r>
      <w:r w:rsidR="00B05B41">
        <w:fldChar w:fldCharType="end"/>
      </w:r>
      <w:r w:rsidR="002D7A1A">
        <w:t xml:space="preserve">. The supply-side strategy reflects the 25 MW </w:t>
      </w:r>
      <w:r w:rsidR="001C2170">
        <w:t xml:space="preserve">of Plant Scherer Unit 3 as </w:t>
      </w:r>
      <w:r w:rsidR="002D7A1A">
        <w:t>serving retail customers</w:t>
      </w:r>
      <w:r w:rsidR="007B36A3">
        <w:t>.</w:t>
      </w:r>
    </w:p>
    <w:p w14:paraId="2820CB8A" w14:textId="67463644" w:rsidR="002648D5" w:rsidRDefault="00A61DC7" w:rsidP="006549EE">
      <w:r>
        <w:t>Plant</w:t>
      </w:r>
      <w:r w:rsidRPr="00A35B3B">
        <w:t xml:space="preserve"> </w:t>
      </w:r>
      <w:r>
        <w:t xml:space="preserve">Goat Rock requires additional investment </w:t>
      </w:r>
      <w:r w:rsidR="003232B5">
        <w:t>to</w:t>
      </w:r>
      <w:r>
        <w:t xml:space="preserve"> maintain </w:t>
      </w:r>
      <w:r w:rsidR="00461251">
        <w:t>reliable</w:t>
      </w:r>
      <w:r>
        <w:t xml:space="preserve"> operation. The Company is taking advantage of this opportunity to increase the capacity of </w:t>
      </w:r>
      <w:r w:rsidR="00461251">
        <w:t>this</w:t>
      </w:r>
      <w:r w:rsidR="008134F5">
        <w:t xml:space="preserve"> </w:t>
      </w:r>
      <w:r w:rsidR="009649EE">
        <w:t>hydro</w:t>
      </w:r>
      <w:r w:rsidR="00461251">
        <w:t xml:space="preserve"> facility</w:t>
      </w:r>
      <w:r>
        <w:t>.</w:t>
      </w:r>
      <w:r w:rsidR="000822B2">
        <w:t xml:space="preserve"> As discussed in </w:t>
      </w:r>
      <w:r w:rsidR="00B05B41">
        <w:fldChar w:fldCharType="begin"/>
      </w:r>
      <w:r w:rsidR="00B05B41">
        <w:instrText xml:space="preserve"> REF _Ref527048130 \r \h </w:instrText>
      </w:r>
      <w:r w:rsidR="00B05B41">
        <w:fldChar w:fldCharType="separate"/>
      </w:r>
      <w:r w:rsidR="00F33DA2">
        <w:t>CHAPTER 9</w:t>
      </w:r>
      <w:r w:rsidR="00B05B41">
        <w:fldChar w:fldCharType="end"/>
      </w:r>
      <w:r w:rsidR="000822B2">
        <w:t xml:space="preserve">, this increase will help correct water flow imbalances on the Chattahoochee River </w:t>
      </w:r>
      <w:r w:rsidR="00E35495">
        <w:t xml:space="preserve">and </w:t>
      </w:r>
      <w:r w:rsidR="00416650">
        <w:t>improv</w:t>
      </w:r>
      <w:r w:rsidR="00E35495">
        <w:t>e</w:t>
      </w:r>
      <w:r w:rsidR="000822B2">
        <w:t xml:space="preserve"> the Company’s ability to optimize water flow of </w:t>
      </w:r>
      <w:r w:rsidR="00A672E0">
        <w:t xml:space="preserve">other </w:t>
      </w:r>
      <w:r w:rsidR="000822B2">
        <w:t xml:space="preserve">hydro resources on the </w:t>
      </w:r>
      <w:r w:rsidR="00E35495">
        <w:t>r</w:t>
      </w:r>
      <w:r w:rsidR="000822B2">
        <w:t xml:space="preserve">iver. </w:t>
      </w:r>
      <w:r>
        <w:t xml:space="preserve">The supply-side strategy reflects this increase in </w:t>
      </w:r>
      <w:r w:rsidR="005275BF">
        <w:t>capacity</w:t>
      </w:r>
      <w:r w:rsidR="00E35495">
        <w:t xml:space="preserve"> at Plant Goat Rock</w:t>
      </w:r>
      <w:r w:rsidR="005275BF">
        <w:t>.</w:t>
      </w:r>
    </w:p>
    <w:p w14:paraId="1B5C4367" w14:textId="197DAE51" w:rsidR="002648D5" w:rsidRPr="002648D5" w:rsidRDefault="006307E2" w:rsidP="00817EA7">
      <w:pPr>
        <w:pStyle w:val="Heading2"/>
      </w:pPr>
      <w:bookmarkStart w:id="205" w:name="_Toc536209161"/>
      <w:r>
        <w:t>Environmental</w:t>
      </w:r>
      <w:r w:rsidR="008134F5">
        <w:t xml:space="preserve"> </w:t>
      </w:r>
      <w:r w:rsidR="007C391B">
        <w:t>Compliance</w:t>
      </w:r>
      <w:r w:rsidR="008134F5">
        <w:t xml:space="preserve"> </w:t>
      </w:r>
      <w:r w:rsidR="007C391B">
        <w:t>Strategy</w:t>
      </w:r>
      <w:bookmarkEnd w:id="205"/>
    </w:p>
    <w:p w14:paraId="4DB9FB8D" w14:textId="1DB1C14B" w:rsidR="00575980" w:rsidRDefault="0081458D" w:rsidP="0081458D">
      <w:r>
        <w:t xml:space="preserve">Georgia Power has a long history of </w:t>
      </w:r>
      <w:r w:rsidR="00D2518F">
        <w:t xml:space="preserve">demonstrating </w:t>
      </w:r>
      <w:r>
        <w:t xml:space="preserve">environmental stewardship while meeting the energy needs of customers. </w:t>
      </w:r>
      <w:r w:rsidR="00D2518F">
        <w:t xml:space="preserve">Complying with federal and state environmental requirements is a fundamental </w:t>
      </w:r>
      <w:r>
        <w:t xml:space="preserve">element of the Company’s longstanding commitment to meet these energy needs. </w:t>
      </w:r>
      <w:r w:rsidR="00D2518F">
        <w:t xml:space="preserve">Consistent </w:t>
      </w:r>
      <w:r>
        <w:t xml:space="preserve">with the Company’s effort to supply clean, safe, reliable, and affordable energy, the ECS </w:t>
      </w:r>
      <w:r w:rsidR="00D2518F">
        <w:t xml:space="preserve">describes the comprehensive strategy designed to comply with environmental laws and </w:t>
      </w:r>
      <w:r>
        <w:t>regulations</w:t>
      </w:r>
      <w:r w:rsidR="00575980">
        <w:t xml:space="preserve"> through the implementation of</w:t>
      </w:r>
      <w:r w:rsidR="00575980" w:rsidRPr="0053241E">
        <w:t xml:space="preserve"> cost-effective and commercially available environmental control applications</w:t>
      </w:r>
      <w:r w:rsidR="00225F82">
        <w:t>.</w:t>
      </w:r>
    </w:p>
    <w:p w14:paraId="198D99D0" w14:textId="369F6F39" w:rsidR="00DE122C" w:rsidRDefault="0081458D" w:rsidP="00DE122C">
      <w:r>
        <w:t xml:space="preserve">Through making </w:t>
      </w:r>
      <w:r w:rsidR="00D2518F">
        <w:t xml:space="preserve">effective investments that are consistent with the best interests of its customers, Georgia Power has invested over $5.5 billion in environmental controls. In doing so, it </w:t>
      </w:r>
      <w:r>
        <w:t xml:space="preserve">has achieved </w:t>
      </w:r>
      <w:r w:rsidR="00124BCB">
        <w:t>nitrogen oxide (“</w:t>
      </w:r>
      <w:r w:rsidR="005816CC">
        <w:t>NO</w:t>
      </w:r>
      <w:r w:rsidR="00124BCB">
        <w:rPr>
          <w:vertAlign w:val="subscript"/>
        </w:rPr>
        <w:t>X</w:t>
      </w:r>
      <w:r w:rsidR="00124BCB">
        <w:t xml:space="preserve">”) </w:t>
      </w:r>
      <w:r w:rsidR="005816CC">
        <w:t xml:space="preserve">and </w:t>
      </w:r>
      <w:r w:rsidR="00124BCB">
        <w:t>sulfur dioxide (“</w:t>
      </w:r>
      <w:r w:rsidR="005816CC">
        <w:t>SO</w:t>
      </w:r>
      <w:r w:rsidR="005816CC" w:rsidRPr="00EA7B10">
        <w:rPr>
          <w:vertAlign w:val="subscript"/>
        </w:rPr>
        <w:t>2</w:t>
      </w:r>
      <w:r w:rsidR="00124BCB">
        <w:t xml:space="preserve">”) </w:t>
      </w:r>
      <w:r>
        <w:t>emission reductions of 93 and 99 percent</w:t>
      </w:r>
      <w:r w:rsidR="00DE122C">
        <w:t xml:space="preserve">, respectively, since 1990 and mercury emission reductions of approximately 95 percent since 2005. </w:t>
      </w:r>
      <w:r w:rsidR="00D2518F">
        <w:t xml:space="preserve">Additionally, </w:t>
      </w:r>
      <w:r w:rsidR="00DE122C">
        <w:t>Georgia Power has reduced CO</w:t>
      </w:r>
      <w:r w:rsidR="00DE122C" w:rsidRPr="00856021">
        <w:rPr>
          <w:vertAlign w:val="subscript"/>
        </w:rPr>
        <w:t>2</w:t>
      </w:r>
      <w:r w:rsidR="00DE122C">
        <w:t xml:space="preserve"> emissions by </w:t>
      </w:r>
      <w:r w:rsidR="00D2518F">
        <w:t xml:space="preserve">more than 50 </w:t>
      </w:r>
      <w:r w:rsidR="00DE122C">
        <w:t>percent since 2007.</w:t>
      </w:r>
    </w:p>
    <w:p w14:paraId="1D496FE3" w14:textId="6027B452" w:rsidR="00E428CA" w:rsidRDefault="0081458D" w:rsidP="00E428CA">
      <w:r>
        <w:t xml:space="preserve">The 2019 ECS reflects the Company’s strategy to comply with </w:t>
      </w:r>
      <w:r w:rsidR="00DE122C">
        <w:t xml:space="preserve">numerous </w:t>
      </w:r>
      <w:r w:rsidR="0046067B">
        <w:t>f</w:t>
      </w:r>
      <w:r w:rsidR="00DE122C">
        <w:t xml:space="preserve">ederal and </w:t>
      </w:r>
      <w:r w:rsidR="0046067B">
        <w:t>s</w:t>
      </w:r>
      <w:r w:rsidR="00DE122C">
        <w:t>tate requirements, including the ELG</w:t>
      </w:r>
      <w:r w:rsidR="00C46F29">
        <w:t xml:space="preserve"> rule</w:t>
      </w:r>
      <w:r>
        <w:t xml:space="preserve"> and both the federal and state CCR </w:t>
      </w:r>
      <w:r w:rsidR="00C46F29">
        <w:t>r</w:t>
      </w:r>
      <w:r>
        <w:t xml:space="preserve">ules for </w:t>
      </w:r>
      <w:r w:rsidR="00DE122C">
        <w:t xml:space="preserve">the Company’s </w:t>
      </w:r>
      <w:r>
        <w:t>fossil-fuel</w:t>
      </w:r>
      <w:r w:rsidR="00E00DBF">
        <w:t>-</w:t>
      </w:r>
      <w:r>
        <w:t>fired plants</w:t>
      </w:r>
      <w:r w:rsidR="00DE122C">
        <w:t>. The</w:t>
      </w:r>
      <w:r w:rsidR="0046067B">
        <w:t xml:space="preserve"> ELG and CCR </w:t>
      </w:r>
      <w:r w:rsidR="00DE122C">
        <w:t xml:space="preserve">rules require the installation of </w:t>
      </w:r>
      <w:r w:rsidR="00D2518F">
        <w:t xml:space="preserve">additional </w:t>
      </w:r>
      <w:r w:rsidR="00DE122C">
        <w:t>environmental controls for wastewater treatment and dry ash handling</w:t>
      </w:r>
      <w:r w:rsidR="00B64009">
        <w:t>. These rules</w:t>
      </w:r>
      <w:r w:rsidR="00DE122C">
        <w:t xml:space="preserve"> also require closure of </w:t>
      </w:r>
      <w:r w:rsidR="0025635B">
        <w:t>ash ponds and add</w:t>
      </w:r>
      <w:r w:rsidR="00DE122C">
        <w:t xml:space="preserve"> additional requirements for CCR landfills. </w:t>
      </w:r>
      <w:r w:rsidR="00D2518F">
        <w:t>In light of these requirements, Georgia Power is permanently closing 29 ash ponds at its coal-fired power plants. In doing so, Georgia Power will incorporate site-specific closure strategies that effectively balance</w:t>
      </w:r>
      <w:r w:rsidR="00D2518F" w:rsidRPr="00C76914">
        <w:t xml:space="preserve"> multiple factors such as pond size, location,</w:t>
      </w:r>
      <w:r w:rsidR="00D2518F">
        <w:t xml:space="preserve"> and</w:t>
      </w:r>
      <w:r w:rsidR="00D2518F" w:rsidRPr="00C76914">
        <w:t xml:space="preserve"> geology, </w:t>
      </w:r>
      <w:r w:rsidR="00D2518F">
        <w:t>as well as the</w:t>
      </w:r>
      <w:r w:rsidR="00D2518F" w:rsidRPr="00C76914">
        <w:t xml:space="preserve"> amount of material</w:t>
      </w:r>
      <w:r w:rsidR="00D2518F">
        <w:t xml:space="preserve"> at each site.</w:t>
      </w:r>
      <w:r w:rsidR="00D2518F" w:rsidRPr="00C76914">
        <w:t xml:space="preserve"> </w:t>
      </w:r>
      <w:r w:rsidR="00D2518F">
        <w:t>Moreover, a</w:t>
      </w:r>
      <w:r w:rsidR="00D2518F" w:rsidRPr="00C76914">
        <w:t>dvanced engineering methods will be designed to enhance the protection of groundwater</w:t>
      </w:r>
      <w:r w:rsidR="00D2518F">
        <w:t>. Such methods may include</w:t>
      </w:r>
      <w:r w:rsidR="00D2518F" w:rsidRPr="00C76914">
        <w:t xml:space="preserve"> slurry walls, in-situ solidification/stabilization and/or cover system enhancements. </w:t>
      </w:r>
      <w:r w:rsidR="00D2518F">
        <w:t xml:space="preserve">Closure of the ash ponds is regulated under both CCR rules </w:t>
      </w:r>
      <w:r w:rsidR="00217097">
        <w:t xml:space="preserve">(state and federal) </w:t>
      </w:r>
      <w:r w:rsidR="00D2518F">
        <w:t xml:space="preserve">and will be required and overseen by Georgia EPD through its issuing of site-specific permits that mandate compliance actions for each ash pond and landfill. </w:t>
      </w:r>
      <w:r w:rsidR="00E428CA">
        <w:t xml:space="preserve">Expenditures associated with the closure of CCR ash ponds and landfills under the CCR </w:t>
      </w:r>
      <w:r w:rsidR="00C46F29">
        <w:t>r</w:t>
      </w:r>
      <w:r w:rsidR="00E428CA">
        <w:t xml:space="preserve">ule are reflected in the </w:t>
      </w:r>
      <w:r w:rsidR="00CB2972">
        <w:t xml:space="preserve">CCR </w:t>
      </w:r>
      <w:r w:rsidR="0066068B">
        <w:t>ARO</w:t>
      </w:r>
      <w:r w:rsidR="00B61856">
        <w:t xml:space="preserve"> </w:t>
      </w:r>
      <w:r w:rsidR="003B0AA8">
        <w:t xml:space="preserve">tables in </w:t>
      </w:r>
      <w:r w:rsidR="00FD5DF5">
        <w:t xml:space="preserve">the </w:t>
      </w:r>
      <w:r w:rsidR="00E428CA">
        <w:t>Selected Supporting Information</w:t>
      </w:r>
      <w:r w:rsidR="00FD5DF5">
        <w:t xml:space="preserve"> section of Technical Appendix Volume 1</w:t>
      </w:r>
      <w:r w:rsidR="00E428CA">
        <w:t>.</w:t>
      </w:r>
    </w:p>
    <w:p w14:paraId="2568AEC5" w14:textId="14314BB7" w:rsidR="00E428CA" w:rsidRDefault="00E428CA" w:rsidP="00E428CA">
      <w:r>
        <w:t xml:space="preserve">The ECS also </w:t>
      </w:r>
      <w:r w:rsidR="00D2518F">
        <w:t xml:space="preserve">discusses </w:t>
      </w:r>
      <w:r>
        <w:t xml:space="preserve">recent developments in </w:t>
      </w:r>
      <w:r w:rsidR="007401F9">
        <w:t>CO</w:t>
      </w:r>
      <w:r w:rsidR="007401F9" w:rsidRPr="007401F9">
        <w:rPr>
          <w:vertAlign w:val="subscript"/>
        </w:rPr>
        <w:t>2</w:t>
      </w:r>
      <w:r w:rsidR="007401F9">
        <w:t xml:space="preserve"> </w:t>
      </w:r>
      <w:r>
        <w:t xml:space="preserve">regulations. </w:t>
      </w:r>
      <w:r w:rsidR="0081458D">
        <w:t xml:space="preserve">On August 21, 2018, the </w:t>
      </w:r>
      <w:r w:rsidR="007136B4">
        <w:t>US</w:t>
      </w:r>
      <w:r w:rsidR="00322CA3">
        <w:t xml:space="preserve"> Environmental Protection Agency (“</w:t>
      </w:r>
      <w:r w:rsidR="0081458D">
        <w:t>EPA</w:t>
      </w:r>
      <w:r w:rsidR="00322CA3">
        <w:t>”)</w:t>
      </w:r>
      <w:r w:rsidR="0081458D">
        <w:t xml:space="preserve"> proposed the Affordable Clean Energy (“ACE”) rule</w:t>
      </w:r>
      <w:r w:rsidR="0036393E">
        <w:t>,</w:t>
      </w:r>
      <w:r w:rsidR="0081458D">
        <w:t xml:space="preserve"> which </w:t>
      </w:r>
      <w:r w:rsidR="00D2518F">
        <w:t xml:space="preserve">will establish and revise guidelines to be used by states in developing their own plans for regulating greenhouse gas emissions from existing coal-fired power plants. To date, the rule has not been finalized. As such, state plans have yet to be developed and implemented, and potential legal proceedings related to the rule and state plans have yet to occur. Consequently, Georgia Power has not initiated compliance plans for the ACE rule and is, therefore, not including such compliance plans in this IRP. </w:t>
      </w:r>
      <w:r>
        <w:t xml:space="preserve">However, as discussed in </w:t>
      </w:r>
      <w:r w:rsidR="00B05B41">
        <w:fldChar w:fldCharType="begin"/>
      </w:r>
      <w:r w:rsidR="00B05B41">
        <w:instrText xml:space="preserve"> REF _Ref532935445 \r \h </w:instrText>
      </w:r>
      <w:r w:rsidR="00B05B41">
        <w:fldChar w:fldCharType="separate"/>
      </w:r>
      <w:r w:rsidR="00F33DA2">
        <w:t>CHAPTER 4</w:t>
      </w:r>
      <w:r w:rsidR="00B05B41">
        <w:fldChar w:fldCharType="end"/>
      </w:r>
      <w:r>
        <w:t>, the Company considers t</w:t>
      </w:r>
      <w:r w:rsidRPr="004C1F3C">
        <w:t>he impacts of pending</w:t>
      </w:r>
      <w:r>
        <w:t xml:space="preserve"> and future carbon</w:t>
      </w:r>
      <w:r w:rsidRPr="004C1F3C">
        <w:t xml:space="preserve"> legislation or regulation</w:t>
      </w:r>
      <w:r>
        <w:t xml:space="preserve"> in the planning scenarios and unit evaluations</w:t>
      </w:r>
      <w:r w:rsidR="00D2518F">
        <w:t xml:space="preserve">. Based upon information currently available, the Company believes </w:t>
      </w:r>
      <w:r w:rsidR="00D2518F" w:rsidRPr="00DE65E2">
        <w:rPr>
          <w:rFonts w:cs="Arial"/>
        </w:rPr>
        <w:t xml:space="preserve">any future </w:t>
      </w:r>
      <w:r w:rsidR="00D2518F">
        <w:rPr>
          <w:rFonts w:cs="Arial"/>
        </w:rPr>
        <w:t>analysis</w:t>
      </w:r>
      <w:r w:rsidR="00D2518F" w:rsidRPr="00DE65E2">
        <w:rPr>
          <w:rFonts w:cs="Arial"/>
        </w:rPr>
        <w:t xml:space="preserve"> r</w:t>
      </w:r>
      <w:r w:rsidR="00D2518F">
        <w:rPr>
          <w:rFonts w:cs="Arial"/>
        </w:rPr>
        <w:t>elated to</w:t>
      </w:r>
      <w:r w:rsidR="00D2518F" w:rsidRPr="00DE65E2">
        <w:rPr>
          <w:rFonts w:cs="Arial"/>
        </w:rPr>
        <w:t xml:space="preserve"> </w:t>
      </w:r>
      <w:r w:rsidR="00D2518F">
        <w:rPr>
          <w:rFonts w:cs="Arial"/>
        </w:rPr>
        <w:t xml:space="preserve">the </w:t>
      </w:r>
      <w:r w:rsidR="00D2518F" w:rsidRPr="00DE65E2">
        <w:rPr>
          <w:rFonts w:cs="Arial"/>
        </w:rPr>
        <w:t>ACE</w:t>
      </w:r>
      <w:r w:rsidR="00D2518F">
        <w:rPr>
          <w:rFonts w:cs="Arial"/>
        </w:rPr>
        <w:t xml:space="preserve"> rule</w:t>
      </w:r>
      <w:r w:rsidR="00D2518F" w:rsidRPr="00DE65E2">
        <w:rPr>
          <w:rFonts w:cs="Arial"/>
        </w:rPr>
        <w:t xml:space="preserve"> </w:t>
      </w:r>
      <w:r w:rsidR="00D2518F">
        <w:rPr>
          <w:rFonts w:cs="Arial"/>
        </w:rPr>
        <w:t>would reflect</w:t>
      </w:r>
      <w:r w:rsidR="00D2518F" w:rsidRPr="00DE65E2">
        <w:rPr>
          <w:rFonts w:cs="Arial"/>
        </w:rPr>
        <w:t xml:space="preserve"> that the implications</w:t>
      </w:r>
      <w:r w:rsidR="00D2518F">
        <w:rPr>
          <w:rFonts w:cs="Arial"/>
        </w:rPr>
        <w:t xml:space="preserve"> of the rule remain</w:t>
      </w:r>
      <w:r w:rsidR="00D2518F" w:rsidRPr="00DE65E2">
        <w:rPr>
          <w:rFonts w:cs="Arial"/>
        </w:rPr>
        <w:t xml:space="preserve"> within the range considered in the Company’s </w:t>
      </w:r>
      <w:r w:rsidR="00D2518F">
        <w:rPr>
          <w:rFonts w:cs="Arial"/>
        </w:rPr>
        <w:t xml:space="preserve">existing </w:t>
      </w:r>
      <w:r w:rsidR="00D2518F" w:rsidRPr="00DE65E2">
        <w:rPr>
          <w:rFonts w:cs="Arial"/>
        </w:rPr>
        <w:t>planning scenarios</w:t>
      </w:r>
      <w:r w:rsidR="00D2518F">
        <w:t>.</w:t>
      </w:r>
    </w:p>
    <w:p w14:paraId="6294CB49" w14:textId="6E289059" w:rsidR="00EA2969" w:rsidRDefault="00D2518F" w:rsidP="0081458D">
      <w:r>
        <w:t>The Company anticipates that the ECCR tariff will need to be updated in the 2019 base rate case to appropriately reflect the incremental costs of environmental compliance. However, consistent with past practice the IRP is the appropriate proceeding for the Commission to approve the Company’s environmental compliance strategies and related costs. The incremental capital and O&amp;M environmental compliance costs for which the Company seeks approval are more specifically described in the Selected Supporting Information section of Technical Appendix Volume 1.</w:t>
      </w:r>
    </w:p>
    <w:p w14:paraId="10240799" w14:textId="20DBD23B" w:rsidR="00A61DC7" w:rsidRPr="009806DF" w:rsidRDefault="00DE46B3" w:rsidP="00817EA7">
      <w:pPr>
        <w:pStyle w:val="Heading2"/>
      </w:pPr>
      <w:bookmarkStart w:id="206" w:name="_Toc536209162"/>
      <w:bookmarkStart w:id="207" w:name="_Hlk532216509"/>
      <w:r>
        <w:t xml:space="preserve">Future </w:t>
      </w:r>
      <w:r w:rsidR="00B97523">
        <w:t>Uncertainty</w:t>
      </w:r>
      <w:bookmarkEnd w:id="206"/>
    </w:p>
    <w:p w14:paraId="7760800E" w14:textId="231D3D1D" w:rsidR="00541672" w:rsidRDefault="00B64009" w:rsidP="00541672">
      <w:r w:rsidRPr="00B065D2">
        <w:t xml:space="preserve">The Company has performed an in-depth economic analysis of certain of its fossil-fired generating units to determine </w:t>
      </w:r>
      <w:r w:rsidR="00D01E85" w:rsidRPr="00B065D2">
        <w:t xml:space="preserve">which plants </w:t>
      </w:r>
      <w:r w:rsidRPr="00B065D2">
        <w:t>provide economic benefit to customers</w:t>
      </w:r>
      <w:r>
        <w:t xml:space="preserve">. </w:t>
      </w:r>
      <w:r w:rsidR="009951AB">
        <w:t>To ensure reliabl</w:t>
      </w:r>
      <w:r w:rsidR="00A14EEB">
        <w:t>e</w:t>
      </w:r>
      <w:r w:rsidR="009951AB">
        <w:t xml:space="preserve"> operations</w:t>
      </w:r>
      <w:r>
        <w:t xml:space="preserve">, no additional coal units can be retired </w:t>
      </w:r>
      <w:r w:rsidR="00225F82">
        <w:t xml:space="preserve">at this time </w:t>
      </w:r>
      <w:r>
        <w:t>beyond Plant Hammond Units</w:t>
      </w:r>
      <w:r w:rsidR="00CB1BDB">
        <w:t> </w:t>
      </w:r>
      <w:r>
        <w:t>1-4 and Plant McIntosh Unit 1.</w:t>
      </w:r>
      <w:r w:rsidR="009951AB">
        <w:t xml:space="preserve"> While t</w:t>
      </w:r>
      <w:r w:rsidRPr="00FC13BD">
        <w:t xml:space="preserve">he Company recognizes the economic challenges facing </w:t>
      </w:r>
      <w:r>
        <w:t xml:space="preserve">Plant </w:t>
      </w:r>
      <w:r w:rsidRPr="00FC13BD">
        <w:t>Bowen Units 1-2</w:t>
      </w:r>
      <w:r w:rsidR="00EE7C9B">
        <w:t xml:space="preserve"> </w:t>
      </w:r>
      <w:r w:rsidR="00AB7501">
        <w:t>in</w:t>
      </w:r>
      <w:r w:rsidR="00EE7C9B">
        <w:t xml:space="preserve"> certain scenarios</w:t>
      </w:r>
      <w:r w:rsidR="00E911C4">
        <w:t xml:space="preserve">, </w:t>
      </w:r>
      <w:r w:rsidR="009951AB">
        <w:t>the continued operation of these units in the near term is</w:t>
      </w:r>
      <w:r w:rsidR="00541672">
        <w:t xml:space="preserve"> imperative</w:t>
      </w:r>
      <w:r w:rsidR="00541672" w:rsidRPr="00FC13BD">
        <w:t xml:space="preserve"> to </w:t>
      </w:r>
      <w:r w:rsidR="00541672">
        <w:t>maintain</w:t>
      </w:r>
      <w:r w:rsidR="009951AB">
        <w:t>ing</w:t>
      </w:r>
      <w:r w:rsidR="00541672">
        <w:t xml:space="preserve"> </w:t>
      </w:r>
      <w:r w:rsidR="00541672" w:rsidRPr="00FC13BD">
        <w:t>reliab</w:t>
      </w:r>
      <w:r w:rsidR="00C22373">
        <w:t>ility</w:t>
      </w:r>
      <w:r w:rsidR="00541672">
        <w:t xml:space="preserve">. These units </w:t>
      </w:r>
      <w:r w:rsidR="00541672" w:rsidRPr="00FC13BD">
        <w:t>provid</w:t>
      </w:r>
      <w:r w:rsidR="00541672">
        <w:t>e</w:t>
      </w:r>
      <w:r w:rsidR="00541672" w:rsidRPr="00FC13BD">
        <w:t xml:space="preserve"> benefits to the transmission system</w:t>
      </w:r>
      <w:r w:rsidR="00A7646E">
        <w:t xml:space="preserve">, </w:t>
      </w:r>
      <w:r w:rsidR="00541672" w:rsidRPr="00FC13BD">
        <w:t>reduc</w:t>
      </w:r>
      <w:r w:rsidR="00541672">
        <w:t>e</w:t>
      </w:r>
      <w:r w:rsidR="00541672" w:rsidRPr="00FC13BD">
        <w:t xml:space="preserve"> exposure to </w:t>
      </w:r>
      <w:r w:rsidR="00A7646E">
        <w:t xml:space="preserve">potential </w:t>
      </w:r>
      <w:r w:rsidR="00541672" w:rsidRPr="00FC13BD">
        <w:t>generation shortfall</w:t>
      </w:r>
      <w:r w:rsidR="00A7646E">
        <w:t>s, and improve resiliency of the System</w:t>
      </w:r>
      <w:r w:rsidR="00680AEE">
        <w:t xml:space="preserve">. </w:t>
      </w:r>
      <w:r w:rsidR="00541672">
        <w:t>Unlike Plant Hammond Units 1-4 and Plant McIntosh Unit 1</w:t>
      </w:r>
      <w:r w:rsidR="00541672" w:rsidRPr="00FC13BD">
        <w:t xml:space="preserve">, the Company </w:t>
      </w:r>
      <w:r w:rsidR="00E428CA">
        <w:t>could not</w:t>
      </w:r>
      <w:r w:rsidR="00E428CA" w:rsidRPr="00FC13BD">
        <w:t xml:space="preserve"> </w:t>
      </w:r>
      <w:r w:rsidR="00541672" w:rsidRPr="00FC13BD">
        <w:t xml:space="preserve">retire </w:t>
      </w:r>
      <w:r w:rsidR="00D01E85">
        <w:t>Plant Bowen Units</w:t>
      </w:r>
      <w:r w:rsidR="00CB1BDB">
        <w:t> </w:t>
      </w:r>
      <w:r w:rsidR="00D01E85">
        <w:t xml:space="preserve">1-2 </w:t>
      </w:r>
      <w:r w:rsidR="00541672" w:rsidRPr="00FC13BD">
        <w:t xml:space="preserve">without identifying </w:t>
      </w:r>
      <w:r w:rsidR="00541672">
        <w:t xml:space="preserve">and procuring </w:t>
      </w:r>
      <w:r w:rsidR="00541672" w:rsidRPr="00FC13BD">
        <w:t xml:space="preserve">new </w:t>
      </w:r>
      <w:r w:rsidR="009951AB">
        <w:t>capacity</w:t>
      </w:r>
      <w:r w:rsidR="00442873">
        <w:t xml:space="preserve"> upon retirement</w:t>
      </w:r>
      <w:r w:rsidR="00541672" w:rsidRPr="00FC13BD">
        <w:t xml:space="preserve">. </w:t>
      </w:r>
      <w:r w:rsidR="00541672">
        <w:t xml:space="preserve">Additionally, in higher gas price </w:t>
      </w:r>
      <w:r w:rsidR="00D01E85">
        <w:t>scenarios</w:t>
      </w:r>
      <w:r w:rsidR="00541672">
        <w:t>, Plant Bowen Units 1-2 remain economically competitive</w:t>
      </w:r>
      <w:r w:rsidR="0025635B">
        <w:t>,</w:t>
      </w:r>
      <w:r w:rsidR="00541672">
        <w:t xml:space="preserve"> demonstrating the benefits of preserving the option to maintain coal generation. Therefore, this IRP</w:t>
      </w:r>
      <w:r w:rsidR="0025635B">
        <w:t xml:space="preserve"> does not</w:t>
      </w:r>
      <w:r w:rsidR="009951AB">
        <w:t xml:space="preserve"> propose the</w:t>
      </w:r>
      <w:r w:rsidR="0025635B">
        <w:t xml:space="preserve"> </w:t>
      </w:r>
      <w:r w:rsidR="00541672">
        <w:t xml:space="preserve">retirement of </w:t>
      </w:r>
      <w:r w:rsidR="009951AB">
        <w:t xml:space="preserve">Plant </w:t>
      </w:r>
      <w:r w:rsidR="00541672" w:rsidRPr="00FC13BD">
        <w:t xml:space="preserve">Bowen Units 1-2 </w:t>
      </w:r>
      <w:r w:rsidR="00541672">
        <w:t xml:space="preserve">as these units </w:t>
      </w:r>
      <w:r w:rsidR="00541672" w:rsidRPr="00FC13BD">
        <w:t>continue to provide numerous benefits to customers</w:t>
      </w:r>
      <w:r w:rsidR="00E911C4">
        <w:t xml:space="preserve"> and are needed to maintain reliable operations</w:t>
      </w:r>
      <w:r w:rsidR="00541672">
        <w:t>.</w:t>
      </w:r>
    </w:p>
    <w:p w14:paraId="2ECAED15" w14:textId="14F2B90A" w:rsidR="0079353D" w:rsidRDefault="009951AB" w:rsidP="006549EE">
      <w:r>
        <w:t>However, i</w:t>
      </w:r>
      <w:r w:rsidR="00B64009">
        <w:t xml:space="preserve">n recognition of the </w:t>
      </w:r>
      <w:r w:rsidR="00E428CA" w:rsidRPr="00FC13BD">
        <w:t xml:space="preserve">economic challenges facing </w:t>
      </w:r>
      <w:r w:rsidR="00E428CA">
        <w:t xml:space="preserve">Plant </w:t>
      </w:r>
      <w:r w:rsidR="00E428CA" w:rsidRPr="00FC13BD">
        <w:t>Bowen Units 1-2</w:t>
      </w:r>
      <w:r w:rsidR="00EE7C9B">
        <w:t xml:space="preserve"> in certain scenarios</w:t>
      </w:r>
      <w:r w:rsidR="00B64009">
        <w:t>, the Company</w:t>
      </w:r>
      <w:r w:rsidR="00E428CA">
        <w:t xml:space="preserve"> is taking steps to minimize</w:t>
      </w:r>
      <w:r w:rsidR="00E428CA" w:rsidRPr="00FC13BD">
        <w:t xml:space="preserve"> </w:t>
      </w:r>
      <w:bookmarkStart w:id="208" w:name="_Hlk532808707"/>
      <w:r w:rsidR="00E428CA">
        <w:t xml:space="preserve">future </w:t>
      </w:r>
      <w:bookmarkEnd w:id="208"/>
      <w:r w:rsidR="00E428CA">
        <w:t xml:space="preserve">investment in these units. While </w:t>
      </w:r>
      <w:r w:rsidR="00D01E85">
        <w:t xml:space="preserve">some </w:t>
      </w:r>
      <w:r w:rsidR="00E428CA">
        <w:t xml:space="preserve">investment is required due to maintenance and environmental mandates, the Company </w:t>
      </w:r>
      <w:r w:rsidR="008757E9">
        <w:t xml:space="preserve">intends </w:t>
      </w:r>
      <w:r w:rsidR="00E428CA">
        <w:t xml:space="preserve">to defer major retrofit projects and optimize implementation of </w:t>
      </w:r>
      <w:r>
        <w:t>projects</w:t>
      </w:r>
      <w:r w:rsidR="00E428CA">
        <w:t xml:space="preserve"> necessary </w:t>
      </w:r>
      <w:r>
        <w:t xml:space="preserve">to </w:t>
      </w:r>
      <w:r w:rsidR="004E2A9B">
        <w:t xml:space="preserve">manage </w:t>
      </w:r>
      <w:r>
        <w:t xml:space="preserve">the </w:t>
      </w:r>
      <w:r w:rsidR="005667EF">
        <w:t>near-term</w:t>
      </w:r>
      <w:r>
        <w:t xml:space="preserve"> availability of these units</w:t>
      </w:r>
      <w:r w:rsidR="00E428CA">
        <w:t xml:space="preserve">. </w:t>
      </w:r>
      <w:r w:rsidR="00A61DC7" w:rsidRPr="00FC13BD">
        <w:t>These steps mitigate the risk related to significant capital expenditures</w:t>
      </w:r>
      <w:r w:rsidR="0079353D">
        <w:t xml:space="preserve"> but increase the potential for unplanned outages and associated</w:t>
      </w:r>
      <w:r w:rsidR="00B17547">
        <w:t xml:space="preserve"> reliability</w:t>
      </w:r>
      <w:r w:rsidR="002B303B">
        <w:t xml:space="preserve"> impacts</w:t>
      </w:r>
      <w:r w:rsidR="00A61DC7" w:rsidRPr="00FC13BD">
        <w:t>.</w:t>
      </w:r>
      <w:r w:rsidR="007332F3">
        <w:t xml:space="preserve"> </w:t>
      </w:r>
    </w:p>
    <w:p w14:paraId="793D6603" w14:textId="3CBB962A" w:rsidR="00B17547" w:rsidRDefault="005667EF" w:rsidP="0078264D">
      <w:bookmarkStart w:id="209" w:name="_Hlk533004499"/>
      <w:r>
        <w:t xml:space="preserve">For the transmission system to accommodate potential future retirements beyond Plant Hammond Units 1-4 and Plant McIntosh Unit 1, the Company must make transmission infrastructure investments beyond what is identified in the base 10-year transmission plan in Technical Appendix Volume 3, which assumes continued operation of large generating units. These transmission projects are reflected in the Company’s unit retirement study analyses and must be </w:t>
      </w:r>
      <w:r w:rsidR="006574C8">
        <w:t xml:space="preserve">completed </w:t>
      </w:r>
      <w:r>
        <w:t>before potential future retirements occur. Therefore, the Company plans to initiate the activities necessary to ensure the timely completion of these projects, or equivalent solutions. These steps enable decision-making flexibility in the event future retirements are appropriate.</w:t>
      </w:r>
    </w:p>
    <w:p w14:paraId="45F5F287" w14:textId="6A7D6749" w:rsidR="00EA2969" w:rsidRPr="00B21FCB" w:rsidRDefault="00EA2969" w:rsidP="00817EA7">
      <w:pPr>
        <w:pStyle w:val="Heading2"/>
      </w:pPr>
      <w:bookmarkStart w:id="210" w:name="_Toc536209163"/>
      <w:bookmarkEnd w:id="209"/>
      <w:r>
        <w:t>Capacity Request</w:t>
      </w:r>
      <w:r w:rsidR="00181907">
        <w:t>s</w:t>
      </w:r>
      <w:r>
        <w:t xml:space="preserve"> for Proposals</w:t>
      </w:r>
      <w:bookmarkEnd w:id="210"/>
    </w:p>
    <w:p w14:paraId="4A8C10D0" w14:textId="6C33EC89" w:rsidR="00C139E5" w:rsidRDefault="00EA2969" w:rsidP="00C139E5">
      <w:r w:rsidRPr="00AA2810">
        <w:t>Georgia Power is projected to have sufficient resources to meet customers’ needs</w:t>
      </w:r>
      <w:r>
        <w:t xml:space="preserve"> in the near term</w:t>
      </w:r>
      <w:r w:rsidRPr="00AA2810">
        <w:t xml:space="preserve"> given the resource decisions approved by the Commission in the 201</w:t>
      </w:r>
      <w:r>
        <w:t xml:space="preserve">6 IRP Order and previous </w:t>
      </w:r>
      <w:r w:rsidR="005173EB">
        <w:t>proceedings</w:t>
      </w:r>
      <w:r w:rsidR="0025635B">
        <w:t>. H</w:t>
      </w:r>
      <w:r w:rsidR="006D48BA">
        <w:t>owever, t</w:t>
      </w:r>
      <w:r w:rsidRPr="00AA2810">
        <w:t>he Company</w:t>
      </w:r>
      <w:r>
        <w:t xml:space="preserve"> is projected to have a </w:t>
      </w:r>
      <w:r w:rsidRPr="00AA2810">
        <w:t>capacity need</w:t>
      </w:r>
      <w:r>
        <w:t xml:space="preserve"> in 2028</w:t>
      </w:r>
      <w:r w:rsidR="00C939B4">
        <w:t xml:space="preserve"> </w:t>
      </w:r>
      <w:r w:rsidR="00C139E5" w:rsidRPr="00AA2810">
        <w:t>based on projected loa</w:t>
      </w:r>
      <w:r w:rsidR="00C139E5">
        <w:t>d growth</w:t>
      </w:r>
      <w:r w:rsidR="009951AB">
        <w:t>,</w:t>
      </w:r>
      <w:r w:rsidR="00C139E5">
        <w:t xml:space="preserve"> expiration of PPAs</w:t>
      </w:r>
      <w:r w:rsidR="009951AB">
        <w:t>, and the decertifications requested in this IRP.</w:t>
      </w:r>
      <w:r w:rsidR="00C139E5">
        <w:t xml:space="preserve"> </w:t>
      </w:r>
    </w:p>
    <w:p w14:paraId="0E1C864E" w14:textId="1E73DEA5" w:rsidR="00E428CA" w:rsidRDefault="00E428CA" w:rsidP="00E428CA">
      <w:bookmarkStart w:id="211" w:name="_Hlk530409154"/>
      <w:r>
        <w:t xml:space="preserve">As previously discussed, </w:t>
      </w:r>
      <w:r w:rsidR="00D5191A">
        <w:t xml:space="preserve">in light of </w:t>
      </w:r>
      <w:r>
        <w:t>the economic challenges facing Plant Bowen Units 1-2</w:t>
      </w:r>
      <w:r w:rsidR="00D5191A">
        <w:t xml:space="preserve">, the Company intends to </w:t>
      </w:r>
      <w:r>
        <w:t>defer major investments in these units</w:t>
      </w:r>
      <w:bookmarkStart w:id="212" w:name="_Hlk532808815"/>
      <w:r>
        <w:t xml:space="preserve"> to the extent practicable</w:t>
      </w:r>
      <w:bookmarkEnd w:id="212"/>
      <w:r>
        <w:t xml:space="preserve">. </w:t>
      </w:r>
      <w:r w:rsidR="00D5191A">
        <w:t>However, i</w:t>
      </w:r>
      <w:r>
        <w:t>ndefinite deferral</w:t>
      </w:r>
      <w:r w:rsidR="00D5191A">
        <w:t xml:space="preserve"> of investments</w:t>
      </w:r>
      <w:r>
        <w:t xml:space="preserve"> or otherwise limiting capital spend will likely cause Plant Bowen Units 1-2 to become unavailable </w:t>
      </w:r>
      <w:r w:rsidRPr="007766D0">
        <w:t>starting with the latest applicability date of the ELG</w:t>
      </w:r>
      <w:r w:rsidR="00C46F29" w:rsidRPr="007766D0">
        <w:t xml:space="preserve"> r</w:t>
      </w:r>
      <w:r w:rsidRPr="007766D0">
        <w:t xml:space="preserve">ule, </w:t>
      </w:r>
      <w:r w:rsidR="00D5191A">
        <w:t xml:space="preserve">which is </w:t>
      </w:r>
      <w:r w:rsidR="007C4CE7" w:rsidRPr="007766D0">
        <w:t>currently</w:t>
      </w:r>
      <w:r w:rsidR="00D5191A">
        <w:t xml:space="preserve"> set for</w:t>
      </w:r>
      <w:r w:rsidR="007C4CE7" w:rsidRPr="007766D0">
        <w:t xml:space="preserve"> December 2023.</w:t>
      </w:r>
      <w:r w:rsidR="007C4CE7">
        <w:t xml:space="preserve"> </w:t>
      </w:r>
      <w:r w:rsidR="00443FD9">
        <w:t xml:space="preserve">Consequently, to maintain reliability and fill a capacity need in the potential absence of these units, the Company intends to issue a capacity-based RFP, seeking resources that can provide capacity beginning in 2022 or 2023, ahead of </w:t>
      </w:r>
      <w:r w:rsidR="00443FD9" w:rsidRPr="00B21067">
        <w:t xml:space="preserve">the latest applicability date for the ELG </w:t>
      </w:r>
      <w:r w:rsidR="00443FD9">
        <w:t>rule</w:t>
      </w:r>
      <w:r w:rsidR="00443FD9" w:rsidRPr="00B21067">
        <w:t>.</w:t>
      </w:r>
      <w:r w:rsidR="00443FD9">
        <w:t xml:space="preserve"> </w:t>
      </w:r>
      <w:r w:rsidR="00CB1BDB">
        <w:t xml:space="preserve">In the event the market cannot provide adequate and economic capacity during the 2022-2023 RFP, the Company intends to preserve the ability to continue operating Plant Bowen Units 1-2. </w:t>
      </w:r>
    </w:p>
    <w:p w14:paraId="11F5BAA8" w14:textId="6B6F528C" w:rsidR="0041646B" w:rsidRDefault="009754C2" w:rsidP="009754C2">
      <w:r>
        <w:t xml:space="preserve">Beyond Plant Bowen Units 1-2, in the event </w:t>
      </w:r>
      <w:r w:rsidR="00CB1BDB">
        <w:t xml:space="preserve">future </w:t>
      </w:r>
      <w:r>
        <w:t xml:space="preserve">retirement of any </w:t>
      </w:r>
      <w:r w:rsidR="008B0CA3">
        <w:t xml:space="preserve">remaining steam </w:t>
      </w:r>
      <w:r>
        <w:t>units is</w:t>
      </w:r>
      <w:r w:rsidR="00CB1BDB">
        <w:t xml:space="preserve"> in the best interest</w:t>
      </w:r>
      <w:r w:rsidR="00BA4E63">
        <w:t>s</w:t>
      </w:r>
      <w:r w:rsidR="00CB1BDB">
        <w:t xml:space="preserve"> of customers</w:t>
      </w:r>
      <w:r>
        <w:t>,</w:t>
      </w:r>
      <w:r w:rsidR="008246A7">
        <w:t xml:space="preserve"> the Company </w:t>
      </w:r>
      <w:r>
        <w:t>would</w:t>
      </w:r>
      <w:r w:rsidR="008246A7">
        <w:t xml:space="preserve"> need</w:t>
      </w:r>
      <w:r>
        <w:t xml:space="preserve"> to identify </w:t>
      </w:r>
      <w:r w:rsidR="008246A7">
        <w:t>new capacity resource</w:t>
      </w:r>
      <w:r>
        <w:t>s</w:t>
      </w:r>
      <w:r w:rsidR="008246A7">
        <w:t>.</w:t>
      </w:r>
      <w:r w:rsidR="008B0CA3">
        <w:t xml:space="preserve"> T</w:t>
      </w:r>
      <w:r w:rsidR="00162428">
        <w:t>o prepare for this possibility</w:t>
      </w:r>
      <w:r w:rsidR="009A00EE">
        <w:t xml:space="preserve"> and preserve decision-making flexibility</w:t>
      </w:r>
      <w:r w:rsidR="00162428">
        <w:t xml:space="preserve">, the </w:t>
      </w:r>
      <w:r w:rsidR="00021085">
        <w:t xml:space="preserve">Company is </w:t>
      </w:r>
      <w:r w:rsidR="00747B64">
        <w:t xml:space="preserve">requesting </w:t>
      </w:r>
      <w:r w:rsidR="00D01E85">
        <w:t xml:space="preserve">approval </w:t>
      </w:r>
      <w:r w:rsidR="00747B64">
        <w:t>to issue a second capacity</w:t>
      </w:r>
      <w:r w:rsidR="008007EA">
        <w:t>-based</w:t>
      </w:r>
      <w:r w:rsidR="00747B64">
        <w:t xml:space="preserve"> RFP </w:t>
      </w:r>
      <w:r w:rsidR="004C36B6">
        <w:t xml:space="preserve">which can </w:t>
      </w:r>
      <w:r w:rsidR="00747B64">
        <w:t>provide capacity</w:t>
      </w:r>
      <w:r w:rsidR="00F15DE6">
        <w:t xml:space="preserve"> beginning </w:t>
      </w:r>
      <w:r w:rsidR="004C36B6">
        <w:t>in</w:t>
      </w:r>
      <w:r w:rsidR="006B00B0">
        <w:t xml:space="preserve"> </w:t>
      </w:r>
      <w:r w:rsidR="004C36B6">
        <w:t>the</w:t>
      </w:r>
      <w:r w:rsidR="00005C95">
        <w:t xml:space="preserve"> </w:t>
      </w:r>
      <w:r w:rsidR="00747B64">
        <w:t>2026</w:t>
      </w:r>
      <w:r w:rsidR="00005C95">
        <w:t>-2028 timeframe</w:t>
      </w:r>
      <w:r w:rsidR="004D6114">
        <w:t>, ahead of the Company’s currently projected capacity need</w:t>
      </w:r>
      <w:r w:rsidR="00747B64">
        <w:t xml:space="preserve">. </w:t>
      </w:r>
      <w:r w:rsidR="00005C95">
        <w:t>The 2026-2028 RFP</w:t>
      </w:r>
      <w:r w:rsidR="00747B64">
        <w:t xml:space="preserve"> </w:t>
      </w:r>
      <w:r w:rsidR="00BD1EC7">
        <w:t xml:space="preserve">provides </w:t>
      </w:r>
      <w:r w:rsidR="00CF7025">
        <w:t>the Company</w:t>
      </w:r>
      <w:r w:rsidR="00005C95">
        <w:t xml:space="preserve"> </w:t>
      </w:r>
      <w:r w:rsidR="00CF7025">
        <w:t xml:space="preserve">flexibility </w:t>
      </w:r>
      <w:r w:rsidR="00E911C4">
        <w:t xml:space="preserve">to complete </w:t>
      </w:r>
      <w:r w:rsidR="00FD5614">
        <w:t xml:space="preserve">necessary transmission improvements and allow for </w:t>
      </w:r>
      <w:r w:rsidR="00BD1EC7">
        <w:t xml:space="preserve">a five-to-seven-year process for the evaluation of bids and </w:t>
      </w:r>
      <w:r w:rsidR="00E911C4">
        <w:t xml:space="preserve">construction of a new capacity resource </w:t>
      </w:r>
      <w:r w:rsidR="00BD1EC7">
        <w:t>by the Company or market participants, should new construction be in the best interest</w:t>
      </w:r>
      <w:r w:rsidR="005173EB">
        <w:t>s</w:t>
      </w:r>
      <w:r w:rsidR="00BD1EC7">
        <w:t xml:space="preserve"> of customers.</w:t>
      </w:r>
    </w:p>
    <w:p w14:paraId="79AD2506" w14:textId="362FD58F" w:rsidR="00A61DC7" w:rsidRPr="009806DF" w:rsidRDefault="00B97523" w:rsidP="00817EA7">
      <w:pPr>
        <w:pStyle w:val="Heading2"/>
      </w:pPr>
      <w:bookmarkStart w:id="213" w:name="_Toc536209164"/>
      <w:bookmarkEnd w:id="207"/>
      <w:bookmarkEnd w:id="211"/>
      <w:r>
        <w:t>Blackstart</w:t>
      </w:r>
      <w:r w:rsidR="00D224DC">
        <w:t xml:space="preserve"> </w:t>
      </w:r>
      <w:r w:rsidR="007C391B">
        <w:t>Resources</w:t>
      </w:r>
      <w:bookmarkEnd w:id="213"/>
    </w:p>
    <w:p w14:paraId="027254C3" w14:textId="584B2B66" w:rsidR="00A61DC7" w:rsidRDefault="00A61DC7" w:rsidP="006549EE">
      <w:r w:rsidRPr="002E46CB">
        <w:t xml:space="preserve">For </w:t>
      </w:r>
      <w:r w:rsidR="00643CE8">
        <w:t>S</w:t>
      </w:r>
      <w:r w:rsidRPr="002E46CB">
        <w:t xml:space="preserve">ystem restoration purposes, certain generating units are designated as “Blackstart Resources.” Blackstart Resources are defined </w:t>
      </w:r>
      <w:r w:rsidR="002C258B">
        <w:t>by</w:t>
      </w:r>
      <w:r w:rsidR="002C258B" w:rsidRPr="002E46CB">
        <w:t xml:space="preserve"> </w:t>
      </w:r>
      <w:r w:rsidRPr="002E46CB">
        <w:t xml:space="preserve">NERC reliability standards as “a generating unit(s) and its associated set of equipment which has the ability to be started without support from the System or is designed to remain energized without connection to the remainder of the System, with the ability to energize a bus, meeting the Transmission Operator’s restoration plan needs for </w:t>
      </w:r>
      <w:r w:rsidR="00B029C7">
        <w:t>R</w:t>
      </w:r>
      <w:r w:rsidRPr="002E46CB">
        <w:t xml:space="preserve">eal and </w:t>
      </w:r>
      <w:r w:rsidR="00B029C7">
        <w:t>R</w:t>
      </w:r>
      <w:r w:rsidRPr="002E46CB">
        <w:t xml:space="preserve">eactive </w:t>
      </w:r>
      <w:r w:rsidR="00B029C7">
        <w:t>P</w:t>
      </w:r>
      <w:r w:rsidRPr="002E46CB">
        <w:t>ower capability, frequency and voltage control, and that has been included in the Transmission Operator’s restoration plan.”</w:t>
      </w:r>
      <w:r w:rsidR="00B029C7">
        <w:rPr>
          <w:rStyle w:val="FootnoteReference"/>
        </w:rPr>
        <w:footnoteReference w:id="5"/>
      </w:r>
      <w:r w:rsidRPr="002E46CB">
        <w:t> </w:t>
      </w:r>
      <w:r w:rsidR="001C0E78" w:rsidRPr="002E46CB">
        <w:t xml:space="preserve">A review and assessment of </w:t>
      </w:r>
      <w:r w:rsidRPr="002E46CB">
        <w:t xml:space="preserve">Blackstart Resources and the Company’s Transmission Operator system restoration plan </w:t>
      </w:r>
      <w:r w:rsidR="002C258B">
        <w:t>is conducted in</w:t>
      </w:r>
      <w:r w:rsidRPr="002E46CB">
        <w:t xml:space="preserve"> conjunction with unit retirement studies. System restoration plans </w:t>
      </w:r>
      <w:r w:rsidR="002C258B">
        <w:t>are</w:t>
      </w:r>
      <w:r w:rsidRPr="002E46CB">
        <w:t xml:space="preserve"> updated</w:t>
      </w:r>
      <w:r w:rsidR="002C258B">
        <w:t xml:space="preserve"> no less than</w:t>
      </w:r>
      <w:r w:rsidRPr="002E46CB">
        <w:t xml:space="preserve"> annually or as required due to changes in the fu</w:t>
      </w:r>
      <w:r w:rsidR="00B21FCB">
        <w:t>ture mix of generating assets.</w:t>
      </w:r>
    </w:p>
    <w:p w14:paraId="349C08A6" w14:textId="13BDB025" w:rsidR="00A61DC7" w:rsidRDefault="00B97523" w:rsidP="00817EA7">
      <w:pPr>
        <w:pStyle w:val="Heading2"/>
      </w:pPr>
      <w:bookmarkStart w:id="214" w:name="_Toc536209165"/>
      <w:r>
        <w:t>New Renewables</w:t>
      </w:r>
      <w:bookmarkEnd w:id="214"/>
    </w:p>
    <w:p w14:paraId="553E7707" w14:textId="2124122B" w:rsidR="00517F78" w:rsidRDefault="00517F78" w:rsidP="001B14A2">
      <w:bookmarkStart w:id="215" w:name="_Hlk527041083"/>
      <w:r>
        <w:t>The Company’s supply-side strategy for renewables seeks</w:t>
      </w:r>
      <w:r w:rsidR="003E12E2" w:rsidRPr="003E12E2">
        <w:t xml:space="preserve"> </w:t>
      </w:r>
      <w:r w:rsidR="003E12E2" w:rsidRPr="00725095">
        <w:t xml:space="preserve">to procure </w:t>
      </w:r>
      <w:r w:rsidR="003E12E2">
        <w:t>up to 950 MW of utility-scale renewable resources</w:t>
      </w:r>
      <w:r w:rsidR="001B14A2">
        <w:t xml:space="preserve"> through the CRSP program</w:t>
      </w:r>
      <w:r w:rsidR="003E12E2">
        <w:t xml:space="preserve">. </w:t>
      </w:r>
      <w:r w:rsidR="001B14A2">
        <w:t>Additionally, t</w:t>
      </w:r>
      <w:r w:rsidR="001B14A2" w:rsidRPr="00725095">
        <w:t xml:space="preserve">he </w:t>
      </w:r>
      <w:r w:rsidR="001B14A2">
        <w:t>C</w:t>
      </w:r>
      <w:r w:rsidR="001B14A2" w:rsidRPr="00725095">
        <w:t>ompany is proposing to procure</w:t>
      </w:r>
      <w:r w:rsidR="001B14A2">
        <w:t xml:space="preserve"> up to</w:t>
      </w:r>
      <w:r w:rsidR="001B14A2" w:rsidRPr="00725095">
        <w:t xml:space="preserve"> </w:t>
      </w:r>
      <w:r w:rsidR="001B14A2">
        <w:t xml:space="preserve">50 MW of </w:t>
      </w:r>
      <w:r w:rsidR="0095553A">
        <w:t>renewable</w:t>
      </w:r>
      <w:r w:rsidR="000472B9">
        <w:t xml:space="preserve"> </w:t>
      </w:r>
      <w:r w:rsidR="001B14A2">
        <w:t xml:space="preserve">DG resources. </w:t>
      </w:r>
      <w:r>
        <w:t xml:space="preserve">These procurements </w:t>
      </w:r>
      <w:r w:rsidRPr="004B3DCF">
        <w:t>will</w:t>
      </w:r>
      <w:r>
        <w:t xml:space="preserve"> </w:t>
      </w:r>
      <w:r w:rsidR="00F875E6">
        <w:t xml:space="preserve">continue to leverage a </w:t>
      </w:r>
      <w:r>
        <w:t>competitive bidding</w:t>
      </w:r>
      <w:r w:rsidR="00F875E6">
        <w:t xml:space="preserve"> process</w:t>
      </w:r>
      <w:r>
        <w:t xml:space="preserve"> as</w:t>
      </w:r>
      <w:r w:rsidR="00F875E6">
        <w:t xml:space="preserve"> the Company builds on</w:t>
      </w:r>
      <w:r w:rsidRPr="004B3DCF">
        <w:t xml:space="preserve"> the success of the previous REDI program</w:t>
      </w:r>
      <w:r w:rsidR="00782A4C">
        <w:t>.</w:t>
      </w:r>
      <w:r w:rsidRPr="004B3DCF">
        <w:t xml:space="preserve"> </w:t>
      </w:r>
      <w:r>
        <w:t>These plans are</w:t>
      </w:r>
      <w:r w:rsidRPr="004B3DCF">
        <w:t xml:space="preserve"> disc</w:t>
      </w:r>
      <w:r>
        <w:t xml:space="preserve">ussed in </w:t>
      </w:r>
      <w:r w:rsidR="00822A26">
        <w:t xml:space="preserve">greater </w:t>
      </w:r>
      <w:r>
        <w:t xml:space="preserve">detail in </w:t>
      </w:r>
      <w:r w:rsidR="00B05B41">
        <w:fldChar w:fldCharType="begin"/>
      </w:r>
      <w:r w:rsidR="00B05B41">
        <w:instrText xml:space="preserve"> REF _Ref530149203 \r \h </w:instrText>
      </w:r>
      <w:r w:rsidR="00B05B41">
        <w:fldChar w:fldCharType="separate"/>
      </w:r>
      <w:r w:rsidR="00F33DA2">
        <w:t>CHAPTER 8</w:t>
      </w:r>
      <w:r w:rsidR="00B05B41">
        <w:fldChar w:fldCharType="end"/>
      </w:r>
      <w:r>
        <w:t>.</w:t>
      </w:r>
    </w:p>
    <w:p w14:paraId="6D8EBFC0" w14:textId="65C42660" w:rsidR="00D053FA" w:rsidRDefault="00D053FA" w:rsidP="00817EA7">
      <w:pPr>
        <w:pStyle w:val="Heading2"/>
      </w:pPr>
      <w:bookmarkStart w:id="216" w:name="_Toc536209166"/>
      <w:bookmarkStart w:id="217" w:name="_Hlk530248696"/>
      <w:bookmarkEnd w:id="215"/>
      <w:r>
        <w:t xml:space="preserve">Battery </w:t>
      </w:r>
      <w:r w:rsidR="000472B9">
        <w:t xml:space="preserve">Energy Storage </w:t>
      </w:r>
      <w:r w:rsidR="005C06B8">
        <w:t>Systems</w:t>
      </w:r>
      <w:bookmarkEnd w:id="216"/>
      <w:r>
        <w:t xml:space="preserve"> </w:t>
      </w:r>
    </w:p>
    <w:p w14:paraId="4AE45051" w14:textId="758227F7" w:rsidR="007B271F" w:rsidRDefault="007B271F" w:rsidP="007B271F">
      <w:pPr>
        <w:rPr>
          <w:b/>
          <w:caps/>
        </w:rPr>
      </w:pPr>
      <w:bookmarkStart w:id="218" w:name="_Hlk529995742"/>
      <w:bookmarkEnd w:id="217"/>
      <w:r w:rsidRPr="00CF15B1">
        <w:t xml:space="preserve">Energy </w:t>
      </w:r>
      <w:r>
        <w:t>s</w:t>
      </w:r>
      <w:r w:rsidRPr="00CF15B1">
        <w:t>torage deployments</w:t>
      </w:r>
      <w:r>
        <w:t xml:space="preserve"> are increasing across the </w:t>
      </w:r>
      <w:r w:rsidR="007136B4">
        <w:t>United States</w:t>
      </w:r>
      <w:r>
        <w:t xml:space="preserve"> and have the potential to </w:t>
      </w:r>
      <w:r w:rsidR="0025635B">
        <w:t xml:space="preserve">make positive </w:t>
      </w:r>
      <w:r w:rsidRPr="00CF15B1">
        <w:t>contribut</w:t>
      </w:r>
      <w:r w:rsidR="0025635B">
        <w:t>ions</w:t>
      </w:r>
      <w:r w:rsidRPr="00CF15B1">
        <w:t xml:space="preserve"> to </w:t>
      </w:r>
      <w:r w:rsidR="0025635B">
        <w:t xml:space="preserve">the </w:t>
      </w:r>
      <w:r w:rsidR="00D01E85">
        <w:t xml:space="preserve">electric </w:t>
      </w:r>
      <w:r>
        <w:t>system. Due to</w:t>
      </w:r>
      <w:r w:rsidRPr="00422934">
        <w:t xml:space="preserve"> advancements in technical performance and continuous reductions in cost, </w:t>
      </w:r>
      <w:r w:rsidRPr="00CF15B1">
        <w:t>Battery Energy Storage Systems (</w:t>
      </w:r>
      <w:r>
        <w:t>“</w:t>
      </w:r>
      <w:r w:rsidRPr="00CF15B1">
        <w:t>BESS</w:t>
      </w:r>
      <w:r>
        <w:t>”</w:t>
      </w:r>
      <w:r w:rsidRPr="00CF15B1">
        <w:t xml:space="preserve">) </w:t>
      </w:r>
      <w:r>
        <w:t xml:space="preserve">can be a solution to address </w:t>
      </w:r>
      <w:r w:rsidRPr="00422934">
        <w:t xml:space="preserve">a wide </w:t>
      </w:r>
      <w:r>
        <w:t>range</w:t>
      </w:r>
      <w:r w:rsidRPr="00422934">
        <w:t xml:space="preserve"> of challenges </w:t>
      </w:r>
      <w:r>
        <w:t>related to</w:t>
      </w:r>
      <w:r w:rsidRPr="00422934">
        <w:t xml:space="preserve"> the generation and </w:t>
      </w:r>
      <w:r>
        <w:t>delivery</w:t>
      </w:r>
      <w:r w:rsidRPr="00422934">
        <w:t xml:space="preserve"> of electric power</w:t>
      </w:r>
      <w:r>
        <w:t xml:space="preserve"> across the grid</w:t>
      </w:r>
      <w:r w:rsidR="00BF1FE2">
        <w:t>.</w:t>
      </w:r>
    </w:p>
    <w:bookmarkEnd w:id="218"/>
    <w:p w14:paraId="4E23098D" w14:textId="0850BB79" w:rsidR="00EA2969" w:rsidRDefault="00EA2969" w:rsidP="00817EA7">
      <w:pPr>
        <w:pStyle w:val="Heading3"/>
      </w:pPr>
      <w:r w:rsidRPr="001C1D71">
        <w:t>Capabilities and Applications</w:t>
      </w:r>
    </w:p>
    <w:p w14:paraId="30AE18FF" w14:textId="38F691AD" w:rsidR="00294623" w:rsidRPr="001C1D71" w:rsidRDefault="00782A4C" w:rsidP="00E30369">
      <w:r>
        <w:t xml:space="preserve">BESS </w:t>
      </w:r>
      <w:r w:rsidR="00217097">
        <w:t>can</w:t>
      </w:r>
      <w:r>
        <w:t xml:space="preserve"> bring </w:t>
      </w:r>
      <w:r w:rsidR="00E428CA">
        <w:t xml:space="preserve">value </w:t>
      </w:r>
      <w:r>
        <w:t xml:space="preserve">to customers </w:t>
      </w:r>
      <w:r w:rsidR="00822A26">
        <w:t xml:space="preserve">by </w:t>
      </w:r>
      <w:r>
        <w:t>performing the following functions</w:t>
      </w:r>
      <w:r w:rsidR="00294623">
        <w:t>:</w:t>
      </w:r>
    </w:p>
    <w:p w14:paraId="2201B658" w14:textId="77777777" w:rsidR="00294623" w:rsidRPr="00CB1DE6" w:rsidRDefault="00294623" w:rsidP="00817EA7">
      <w:pPr>
        <w:pStyle w:val="Heading4"/>
        <w:ind w:left="720"/>
      </w:pPr>
      <w:r w:rsidRPr="00CB1DE6">
        <w:t>Dispatch Operations Optimization and System Resiliency</w:t>
      </w:r>
    </w:p>
    <w:p w14:paraId="2EDFEB2E" w14:textId="365CBDE9" w:rsidR="00CE4A76" w:rsidRPr="00683CDA" w:rsidRDefault="00294623" w:rsidP="00CE4A76">
      <w:pPr>
        <w:ind w:left="720"/>
      </w:pPr>
      <w:r w:rsidRPr="006E5C31">
        <w:t xml:space="preserve">Advanced battery technologies have the potential to provide operational flexibility </w:t>
      </w:r>
      <w:r>
        <w:t xml:space="preserve">due to </w:t>
      </w:r>
      <w:r w:rsidR="001C09FA">
        <w:t>the</w:t>
      </w:r>
      <w:r w:rsidR="00E428CA">
        <w:t xml:space="preserve"> capability for sub-second response</w:t>
      </w:r>
      <w:r w:rsidR="00E428CA" w:rsidRPr="006E5C31">
        <w:t xml:space="preserve">. </w:t>
      </w:r>
      <w:r w:rsidR="00E428CA">
        <w:t>As such</w:t>
      </w:r>
      <w:r w:rsidR="00E428CA" w:rsidRPr="006E5C31">
        <w:t>, BESS</w:t>
      </w:r>
      <w:r w:rsidR="00E428CA">
        <w:t xml:space="preserve"> can</w:t>
      </w:r>
      <w:r w:rsidR="00E428CA" w:rsidRPr="006E5C31">
        <w:t xml:space="preserve"> provide </w:t>
      </w:r>
      <w:r w:rsidR="00A7646E">
        <w:t xml:space="preserve">essential reliability and </w:t>
      </w:r>
      <w:r w:rsidR="00A7646E" w:rsidRPr="006E5C31">
        <w:t xml:space="preserve">dispatch operations </w:t>
      </w:r>
      <w:r w:rsidRPr="006E5C31">
        <w:t xml:space="preserve">services to the grid, </w:t>
      </w:r>
      <w:r>
        <w:t>such as</w:t>
      </w:r>
      <w:r w:rsidRPr="006E5C31">
        <w:t xml:space="preserve"> </w:t>
      </w:r>
      <w:r w:rsidR="001C0E78" w:rsidRPr="006E5C31">
        <w:t xml:space="preserve">frequency response support, </w:t>
      </w:r>
      <w:r w:rsidR="001C0E78">
        <w:t xml:space="preserve">quick-start, and </w:t>
      </w:r>
      <w:r w:rsidR="001C0E78" w:rsidRPr="006E5C31">
        <w:t>fast-acting ramp capability</w:t>
      </w:r>
      <w:r w:rsidR="001C0E78">
        <w:t xml:space="preserve">. Opportunities </w:t>
      </w:r>
      <w:r>
        <w:t>exist to validate</w:t>
      </w:r>
      <w:r w:rsidRPr="006E5C31">
        <w:t xml:space="preserve"> the </w:t>
      </w:r>
      <w:r w:rsidR="00A333A9">
        <w:t>effectiveness</w:t>
      </w:r>
      <w:r w:rsidR="00A333A9" w:rsidRPr="006E5C31">
        <w:t xml:space="preserve"> </w:t>
      </w:r>
      <w:r w:rsidRPr="006E5C31">
        <w:t>of battery storage</w:t>
      </w:r>
      <w:r>
        <w:t xml:space="preserve"> for </w:t>
      </w:r>
      <w:r w:rsidRPr="006E5C31">
        <w:t xml:space="preserve">short response and faster reaction time </w:t>
      </w:r>
      <w:r>
        <w:t xml:space="preserve">applications in comparison to traditional </w:t>
      </w:r>
      <w:r w:rsidRPr="006E5C31">
        <w:t>generation resources</w:t>
      </w:r>
      <w:r>
        <w:t>.</w:t>
      </w:r>
      <w:bookmarkStart w:id="219" w:name="_Hlk531017265"/>
      <w:r w:rsidR="00E428CA">
        <w:t xml:space="preserve"> Additionally, validation of the daily and seasonal discharge schedule will allow operations to fully optimize the dispatch of generation assets</w:t>
      </w:r>
      <w:r w:rsidR="00E428CA" w:rsidRPr="006E5C31">
        <w:t>.</w:t>
      </w:r>
    </w:p>
    <w:bookmarkEnd w:id="219"/>
    <w:p w14:paraId="13A67901" w14:textId="77777777" w:rsidR="00294623" w:rsidRPr="00CB1DE6" w:rsidRDefault="00294623" w:rsidP="00817EA7">
      <w:pPr>
        <w:pStyle w:val="Heading4"/>
        <w:ind w:left="720"/>
      </w:pPr>
      <w:r w:rsidRPr="00CB1DE6">
        <w:t>Renewables Integration</w:t>
      </w:r>
    </w:p>
    <w:p w14:paraId="07085FDF" w14:textId="0B2CA556" w:rsidR="00E428CA" w:rsidRDefault="00E428CA" w:rsidP="00E428CA">
      <w:pPr>
        <w:ind w:left="720"/>
      </w:pPr>
      <w:r>
        <w:t>BESS</w:t>
      </w:r>
      <w:r w:rsidRPr="00CF15B1">
        <w:t xml:space="preserve"> offer the flexibility needed to handle the unexpected moment to moment variations caused by </w:t>
      </w:r>
      <w:r w:rsidR="00D72E84">
        <w:t>intermittent</w:t>
      </w:r>
      <w:r w:rsidRPr="00CF15B1">
        <w:t xml:space="preserve"> renewable resources, the rapid change in ramp</w:t>
      </w:r>
      <w:r>
        <w:t xml:space="preserve">ing </w:t>
      </w:r>
      <w:r w:rsidRPr="00CF15B1">
        <w:t xml:space="preserve">requirements </w:t>
      </w:r>
      <w:r>
        <w:t>due to the changing availability of the renewable resources</w:t>
      </w:r>
      <w:r w:rsidRPr="00CF15B1">
        <w:t xml:space="preserve">, and potential “bottom-out” conditions caused by </w:t>
      </w:r>
      <w:r>
        <w:t xml:space="preserve">must-take renewable energy </w:t>
      </w:r>
      <w:r w:rsidRPr="00CF15B1">
        <w:t>on low-load days</w:t>
      </w:r>
      <w:r>
        <w:t xml:space="preserve"> </w:t>
      </w:r>
      <w:r w:rsidRPr="00CF15B1">
        <w:t xml:space="preserve">to </w:t>
      </w:r>
      <w:r>
        <w:t>en</w:t>
      </w:r>
      <w:r w:rsidRPr="00CF15B1">
        <w:t>sure grid reliability. New battery energy</w:t>
      </w:r>
      <w:r w:rsidR="00430484">
        <w:t xml:space="preserve"> </w:t>
      </w:r>
      <w:r w:rsidRPr="00CF15B1">
        <w:t>storage facilities may be</w:t>
      </w:r>
      <w:r w:rsidR="000472B9">
        <w:t xml:space="preserve"> </w:t>
      </w:r>
      <w:r>
        <w:t>viable</w:t>
      </w:r>
      <w:r w:rsidRPr="00CF15B1">
        <w:t xml:space="preserve"> resource</w:t>
      </w:r>
      <w:r>
        <w:t>s</w:t>
      </w:r>
      <w:r w:rsidRPr="00CF15B1">
        <w:t xml:space="preserve"> for dealing with these challenges </w:t>
      </w:r>
      <w:r>
        <w:t>over time</w:t>
      </w:r>
      <w:r w:rsidRPr="00CF15B1">
        <w:t>.</w:t>
      </w:r>
    </w:p>
    <w:p w14:paraId="33A248E4" w14:textId="484C51DA" w:rsidR="00CE4A76" w:rsidRPr="001C1D71" w:rsidRDefault="00CE4A76" w:rsidP="00FB1887">
      <w:pPr>
        <w:ind w:left="720"/>
      </w:pPr>
      <w:r>
        <w:t xml:space="preserve">Non-dispatchable, </w:t>
      </w:r>
      <w:r w:rsidRPr="00CB09FB">
        <w:t xml:space="preserve">renewable </w:t>
      </w:r>
      <w:r>
        <w:t xml:space="preserve">resources are an </w:t>
      </w:r>
      <w:r w:rsidR="00447BA5">
        <w:t xml:space="preserve">integral </w:t>
      </w:r>
      <w:r>
        <w:t xml:space="preserve">part of Georgia Power’s generation mix. As such, it </w:t>
      </w:r>
      <w:r w:rsidR="00447BA5">
        <w:t xml:space="preserve">may become </w:t>
      </w:r>
      <w:r w:rsidR="00007BD3">
        <w:t xml:space="preserve">beneficial </w:t>
      </w:r>
      <w:r>
        <w:t xml:space="preserve">to shift the energy from these resources, such as solar, to </w:t>
      </w:r>
      <w:r w:rsidRPr="00CB09FB">
        <w:t>more valuable hours of the day.</w:t>
      </w:r>
      <w:r>
        <w:t xml:space="preserve"> BESS provide opportunities to optimize</w:t>
      </w:r>
      <w:r w:rsidR="0025635B" w:rsidRPr="00CB09FB">
        <w:t xml:space="preserve"> </w:t>
      </w:r>
      <w:r w:rsidRPr="00CB09FB">
        <w:t xml:space="preserve">scheduling, </w:t>
      </w:r>
      <w:r>
        <w:t xml:space="preserve">economic </w:t>
      </w:r>
      <w:r w:rsidRPr="00CB09FB">
        <w:t xml:space="preserve">valuation, and dispatch </w:t>
      </w:r>
      <w:r>
        <w:t>capabilities when</w:t>
      </w:r>
      <w:r w:rsidRPr="00CB09FB">
        <w:t xml:space="preserve"> peak generation </w:t>
      </w:r>
      <w:r>
        <w:t xml:space="preserve">is shifted from renewable resources such as solar </w:t>
      </w:r>
      <w:r w:rsidRPr="00CB09FB">
        <w:t xml:space="preserve">for </w:t>
      </w:r>
      <w:r>
        <w:t xml:space="preserve">later </w:t>
      </w:r>
      <w:r w:rsidRPr="00CB09FB">
        <w:t>use when the demand is high.</w:t>
      </w:r>
    </w:p>
    <w:p w14:paraId="2223007D" w14:textId="334B8DEC" w:rsidR="00294623" w:rsidRPr="001C1D71" w:rsidRDefault="00294623" w:rsidP="00817EA7">
      <w:pPr>
        <w:pStyle w:val="Heading4"/>
        <w:ind w:left="720"/>
      </w:pPr>
      <w:r w:rsidRPr="001C1D71">
        <w:t>Transmission and Distribution</w:t>
      </w:r>
      <w:r w:rsidR="00870EF8">
        <w:t xml:space="preserve"> (“T&amp;D”)</w:t>
      </w:r>
    </w:p>
    <w:p w14:paraId="2BD3D127" w14:textId="055FCDBE" w:rsidR="001868D5" w:rsidRPr="001C1D71" w:rsidRDefault="00D07B44" w:rsidP="001868D5">
      <w:pPr>
        <w:ind w:left="720"/>
      </w:pPr>
      <w:r>
        <w:t>BESS</w:t>
      </w:r>
      <w:r w:rsidR="00294623" w:rsidRPr="00647747">
        <w:t xml:space="preserve"> </w:t>
      </w:r>
      <w:r w:rsidR="00A35B07">
        <w:t xml:space="preserve">may </w:t>
      </w:r>
      <w:r w:rsidR="00294623" w:rsidRPr="00647747">
        <w:t xml:space="preserve">have the potential </w:t>
      </w:r>
      <w:r>
        <w:t>to defer</w:t>
      </w:r>
      <w:r w:rsidR="00294623" w:rsidRPr="00647747">
        <w:t xml:space="preserve"> </w:t>
      </w:r>
      <w:r w:rsidR="009B450B">
        <w:t>traditional wires</w:t>
      </w:r>
      <w:r w:rsidR="00294623" w:rsidRPr="00647747">
        <w:t xml:space="preserve"> investments </w:t>
      </w:r>
      <w:r w:rsidR="00447BA5">
        <w:t xml:space="preserve">related to </w:t>
      </w:r>
      <w:r w:rsidR="00294623" w:rsidRPr="00647747">
        <w:t>load growth and congestion</w:t>
      </w:r>
      <w:r w:rsidR="00447BA5">
        <w:t xml:space="preserve"> thus acting as non-wires alternatives (“NWA</w:t>
      </w:r>
      <w:r w:rsidR="00711AC5">
        <w:t>s</w:t>
      </w:r>
      <w:r w:rsidR="00447BA5">
        <w:t>”)</w:t>
      </w:r>
      <w:r w:rsidR="00294623" w:rsidRPr="00647747">
        <w:t>.</w:t>
      </w:r>
      <w:r w:rsidR="001868D5">
        <w:t xml:space="preserve"> Additionally, BESS </w:t>
      </w:r>
      <w:r w:rsidR="00C24839">
        <w:t xml:space="preserve">may </w:t>
      </w:r>
      <w:r w:rsidR="001868D5">
        <w:t xml:space="preserve">have the ability to provide voltage support to the </w:t>
      </w:r>
      <w:r w:rsidR="00C24839">
        <w:t>grid</w:t>
      </w:r>
      <w:r w:rsidR="001868D5">
        <w:t>.</w:t>
      </w:r>
    </w:p>
    <w:p w14:paraId="70D45C0F" w14:textId="77777777" w:rsidR="00E428CA" w:rsidRPr="001C1D71" w:rsidRDefault="00E428CA" w:rsidP="00E428CA">
      <w:pPr>
        <w:pStyle w:val="Heading4"/>
        <w:ind w:left="720"/>
      </w:pPr>
      <w:r>
        <w:t>Utility-</w:t>
      </w:r>
      <w:r w:rsidRPr="001C1D71">
        <w:t>Scale Storage</w:t>
      </w:r>
    </w:p>
    <w:p w14:paraId="1C34CD21" w14:textId="010CB1A9" w:rsidR="00294623" w:rsidRPr="00294623" w:rsidRDefault="00294623" w:rsidP="00CB1DE6">
      <w:pPr>
        <w:ind w:left="720"/>
      </w:pPr>
      <w:r>
        <w:t xml:space="preserve">Unlike traditional generation resources, </w:t>
      </w:r>
      <w:r w:rsidR="00D07B44">
        <w:t>BESS</w:t>
      </w:r>
      <w:r w:rsidRPr="00CA25E1">
        <w:t xml:space="preserve"> have the capability of both increasing the grid’s total</w:t>
      </w:r>
      <w:r w:rsidRPr="00647747">
        <w:t xml:space="preserve"> </w:t>
      </w:r>
      <w:r w:rsidRPr="00CA25E1">
        <w:t>load during low load periods</w:t>
      </w:r>
      <w:r>
        <w:t xml:space="preserve"> </w:t>
      </w:r>
      <w:r w:rsidR="00F51D3B">
        <w:t>(</w:t>
      </w:r>
      <w:r w:rsidRPr="00CA25E1">
        <w:t>charging</w:t>
      </w:r>
      <w:r w:rsidR="00F51D3B">
        <w:t>)</w:t>
      </w:r>
      <w:r w:rsidRPr="00CA25E1">
        <w:t xml:space="preserve"> </w:t>
      </w:r>
      <w:bookmarkStart w:id="220" w:name="_Hlk534303630"/>
      <w:r w:rsidR="00013ABA" w:rsidRPr="00CA25E1">
        <w:t>and</w:t>
      </w:r>
      <w:r w:rsidR="001033DE">
        <w:t xml:space="preserve"> </w:t>
      </w:r>
      <w:bookmarkEnd w:id="220"/>
      <w:r w:rsidR="00D87D30">
        <w:t>serving</w:t>
      </w:r>
      <w:r w:rsidR="00013ABA" w:rsidRPr="00CA25E1">
        <w:t xml:space="preserve"> </w:t>
      </w:r>
      <w:r w:rsidR="00DA1374">
        <w:t xml:space="preserve">load </w:t>
      </w:r>
      <w:r w:rsidRPr="00CA25E1">
        <w:t>during high load periods</w:t>
      </w:r>
      <w:r>
        <w:t xml:space="preserve"> </w:t>
      </w:r>
      <w:r w:rsidR="00F51D3B">
        <w:t>(</w:t>
      </w:r>
      <w:r w:rsidRPr="00CA25E1">
        <w:t>discharging</w:t>
      </w:r>
      <w:r w:rsidR="00F51D3B">
        <w:t>)</w:t>
      </w:r>
      <w:r w:rsidR="00007BD3">
        <w:t>, thereby flattening the effective system load</w:t>
      </w:r>
      <w:r w:rsidR="00A02F0E">
        <w:t xml:space="preserve"> </w:t>
      </w:r>
      <w:r w:rsidR="00007BD3">
        <w:t>shape</w:t>
      </w:r>
      <w:r w:rsidRPr="00647747">
        <w:t>. </w:t>
      </w:r>
      <w:r>
        <w:t xml:space="preserve">BESS can also serve as an alternative to the traditional peaking resource and provide </w:t>
      </w:r>
      <w:r w:rsidR="00643CE8">
        <w:t>S</w:t>
      </w:r>
      <w:r>
        <w:t>ystem operating reserves to serve load reliably.</w:t>
      </w:r>
    </w:p>
    <w:p w14:paraId="3999F4DD" w14:textId="1F18112D" w:rsidR="0025635B" w:rsidRPr="001C1D71" w:rsidRDefault="000472B9" w:rsidP="0025635B">
      <w:pPr>
        <w:pStyle w:val="Heading3"/>
        <w:rPr>
          <w:iCs/>
        </w:rPr>
      </w:pPr>
      <w:r>
        <w:t>Deployment Strategy</w:t>
      </w:r>
    </w:p>
    <w:p w14:paraId="54380D6C" w14:textId="2C5CCC11" w:rsidR="00294623" w:rsidRDefault="00294623" w:rsidP="00E30369">
      <w:r>
        <w:t xml:space="preserve">The Company </w:t>
      </w:r>
      <w:r w:rsidR="00267A96" w:rsidRPr="00CB09FB">
        <w:t>propos</w:t>
      </w:r>
      <w:r w:rsidR="00267A96">
        <w:t xml:space="preserve">es </w:t>
      </w:r>
      <w:r w:rsidR="00007BD3">
        <w:t>to develop</w:t>
      </w:r>
      <w:r w:rsidRPr="00CB09FB">
        <w:t xml:space="preserve"> </w:t>
      </w:r>
      <w:r w:rsidR="00D230A8">
        <w:t xml:space="preserve">a total of </w:t>
      </w:r>
      <w:r>
        <w:t xml:space="preserve">50 MW of energy storage capacity for this IRP </w:t>
      </w:r>
      <w:r w:rsidR="00217097">
        <w:t>to</w:t>
      </w:r>
      <w:r>
        <w:t xml:space="preserve"> evaluate</w:t>
      </w:r>
      <w:r w:rsidRPr="00CF15B1">
        <w:t xml:space="preserve"> </w:t>
      </w:r>
      <w:r>
        <w:t xml:space="preserve">the </w:t>
      </w:r>
      <w:r w:rsidRPr="003C4EFC">
        <w:t>technical and economic performance relative to expectations</w:t>
      </w:r>
      <w:r>
        <w:t>,</w:t>
      </w:r>
      <w:r w:rsidRPr="003C4EFC">
        <w:t xml:space="preserve"> including </w:t>
      </w:r>
      <w:r>
        <w:t xml:space="preserve">the </w:t>
      </w:r>
      <w:r w:rsidRPr="003C4EFC">
        <w:t xml:space="preserve">ability to </w:t>
      </w:r>
      <w:r>
        <w:t>use BESS for m</w:t>
      </w:r>
      <w:r w:rsidRPr="003C4EFC">
        <w:t>ultiple application</w:t>
      </w:r>
      <w:r>
        <w:t>s. The</w:t>
      </w:r>
      <w:r w:rsidR="00007BD3">
        <w:t xml:space="preserve"> two</w:t>
      </w:r>
      <w:r>
        <w:t xml:space="preserve"> proposed project configurations are as follow</w:t>
      </w:r>
      <w:r w:rsidR="00007BD3">
        <w:t>s</w:t>
      </w:r>
      <w:r>
        <w:t>:</w:t>
      </w:r>
    </w:p>
    <w:p w14:paraId="02C450C5" w14:textId="77777777" w:rsidR="00DD47A4" w:rsidRPr="00F678DF" w:rsidRDefault="00DD47A4" w:rsidP="00DD00CB">
      <w:pPr>
        <w:pStyle w:val="ListParagraph"/>
        <w:numPr>
          <w:ilvl w:val="0"/>
          <w:numId w:val="13"/>
        </w:numPr>
      </w:pPr>
      <w:r w:rsidRPr="00F678DF">
        <w:t>Independently sited battery energy storage system(s)</w:t>
      </w:r>
    </w:p>
    <w:p w14:paraId="405B38B5" w14:textId="32ED02BF" w:rsidR="00DD47A4" w:rsidRPr="00F678DF" w:rsidRDefault="00DD47A4" w:rsidP="00DD00CB">
      <w:pPr>
        <w:pStyle w:val="ListParagraph"/>
        <w:numPr>
          <w:ilvl w:val="0"/>
          <w:numId w:val="13"/>
        </w:numPr>
      </w:pPr>
      <w:r w:rsidRPr="00F678DF">
        <w:t xml:space="preserve">Battery energy storage system(s) </w:t>
      </w:r>
      <w:r w:rsidR="0081036B">
        <w:t>to</w:t>
      </w:r>
      <w:r w:rsidR="0081036B" w:rsidRPr="00F678DF">
        <w:t xml:space="preserve"> </w:t>
      </w:r>
      <w:r w:rsidRPr="00F678DF">
        <w:t xml:space="preserve">be located at or near solar facility(s) </w:t>
      </w:r>
    </w:p>
    <w:p w14:paraId="4B8B1240" w14:textId="77777777" w:rsidR="001C0E78" w:rsidRDefault="001C0E78" w:rsidP="001C0E78">
      <w:r w:rsidRPr="00CB09FB">
        <w:t>The</w:t>
      </w:r>
      <w:r>
        <w:t>se battery energy storage deployments</w:t>
      </w:r>
      <w:r w:rsidRPr="00CB09FB">
        <w:t xml:space="preserve"> will provide the </w:t>
      </w:r>
      <w:r>
        <w:t>ability to</w:t>
      </w:r>
      <w:r w:rsidRPr="00CB09FB">
        <w:t>:</w:t>
      </w:r>
    </w:p>
    <w:p w14:paraId="3148032F" w14:textId="005870E0" w:rsidR="001C0E78" w:rsidRDefault="001C0E78" w:rsidP="00DD00CB">
      <w:pPr>
        <w:pStyle w:val="ListParagraph"/>
        <w:numPr>
          <w:ilvl w:val="0"/>
          <w:numId w:val="14"/>
        </w:numPr>
      </w:pPr>
      <w:r>
        <w:t>Validate operational and performance capability in a real-time environment</w:t>
      </w:r>
      <w:r w:rsidR="001C09FA">
        <w:t>;</w:t>
      </w:r>
    </w:p>
    <w:p w14:paraId="32AEE510" w14:textId="5BEEFAB2" w:rsidR="001C0E78" w:rsidRPr="00CB09FB" w:rsidRDefault="001C0E78" w:rsidP="00DD00CB">
      <w:pPr>
        <w:pStyle w:val="ListParagraph"/>
        <w:numPr>
          <w:ilvl w:val="0"/>
          <w:numId w:val="14"/>
        </w:numPr>
      </w:pPr>
      <w:r>
        <w:t>E</w:t>
      </w:r>
      <w:r w:rsidRPr="00CB09FB">
        <w:t>xamine integration of storage technology, operating assumptions and new energy storage development costs as a part of new build resources</w:t>
      </w:r>
      <w:r w:rsidR="001C09FA">
        <w:t>;</w:t>
      </w:r>
    </w:p>
    <w:p w14:paraId="7A96591F" w14:textId="119C7890" w:rsidR="001C0E78" w:rsidRPr="00CB09FB" w:rsidRDefault="001C0E78" w:rsidP="00DD00CB">
      <w:pPr>
        <w:pStyle w:val="ListParagraph"/>
        <w:numPr>
          <w:ilvl w:val="0"/>
          <w:numId w:val="14"/>
        </w:numPr>
      </w:pPr>
      <w:r>
        <w:t>Fully e</w:t>
      </w:r>
      <w:r w:rsidRPr="00CB09FB">
        <w:t xml:space="preserve">valuate the </w:t>
      </w:r>
      <w:r>
        <w:t xml:space="preserve">benefits and </w:t>
      </w:r>
      <w:r w:rsidRPr="00CB09FB">
        <w:t>costs of combinations of</w:t>
      </w:r>
      <w:r w:rsidR="00007BD3">
        <w:t xml:space="preserve"> </w:t>
      </w:r>
      <w:r w:rsidRPr="00CB09FB">
        <w:t>resources, such as solar plus battery storage</w:t>
      </w:r>
      <w:r w:rsidR="00782A4C">
        <w:t>; and</w:t>
      </w:r>
    </w:p>
    <w:p w14:paraId="484683B8" w14:textId="3C4E8CA9" w:rsidR="00294623" w:rsidRDefault="00294623" w:rsidP="00DD00CB">
      <w:pPr>
        <w:pStyle w:val="ListParagraph"/>
        <w:numPr>
          <w:ilvl w:val="0"/>
          <w:numId w:val="14"/>
        </w:numPr>
      </w:pPr>
      <w:r>
        <w:t xml:space="preserve">Obtain </w:t>
      </w:r>
      <w:r w:rsidRPr="003C4EFC">
        <w:t>operational performance analys</w:t>
      </w:r>
      <w:r>
        <w:t xml:space="preserve">es to </w:t>
      </w:r>
      <w:r w:rsidRPr="003C4EFC">
        <w:t>inform and refine BESS operation and preventive maintenance practices</w:t>
      </w:r>
      <w:r>
        <w:t xml:space="preserve">, including </w:t>
      </w:r>
      <w:r w:rsidRPr="003C4EFC">
        <w:t>identif</w:t>
      </w:r>
      <w:r>
        <w:t xml:space="preserve">ication of </w:t>
      </w:r>
      <w:r w:rsidRPr="003C4EFC">
        <w:t xml:space="preserve">technology and component specific degradation </w:t>
      </w:r>
      <w:r>
        <w:t xml:space="preserve">rates </w:t>
      </w:r>
      <w:r w:rsidRPr="003C4EFC">
        <w:t>and failure mechanisms</w:t>
      </w:r>
      <w:r w:rsidR="0025635B">
        <w:t>.</w:t>
      </w:r>
    </w:p>
    <w:p w14:paraId="514BF10A" w14:textId="073194E4" w:rsidR="00BD1EC7" w:rsidRDefault="00BD1EC7" w:rsidP="00BD1EC7">
      <w:r>
        <w:t>The projected costs for these energy storage projects are contained in Selected Supporting Information section of Technical Appendix Volume 1.</w:t>
      </w:r>
    </w:p>
    <w:p w14:paraId="0C245512" w14:textId="08ACB02F" w:rsidR="00CE4A76" w:rsidRDefault="00D03CFB" w:rsidP="002242B7">
      <w:pPr>
        <w:keepLines/>
      </w:pPr>
      <w:bookmarkStart w:id="221" w:name="_Hlk529994732"/>
      <w:r>
        <w:t>The proposed BESS</w:t>
      </w:r>
      <w:r w:rsidRPr="001C1D71">
        <w:t xml:space="preserve"> </w:t>
      </w:r>
      <w:r>
        <w:t>may</w:t>
      </w:r>
      <w:r w:rsidRPr="001C1D71">
        <w:t xml:space="preserve"> </w:t>
      </w:r>
      <w:r w:rsidR="00294623" w:rsidRPr="001C1D71">
        <w:t xml:space="preserve">enhance the </w:t>
      </w:r>
      <w:r w:rsidR="00643CE8">
        <w:t>S</w:t>
      </w:r>
      <w:r w:rsidR="00294623" w:rsidRPr="001C1D71">
        <w:t xml:space="preserve">ystem’s ability to meet </w:t>
      </w:r>
      <w:r w:rsidR="00FB1887" w:rsidRPr="001C1D71">
        <w:t>demand and</w:t>
      </w:r>
      <w:r w:rsidR="00294623" w:rsidRPr="001C1D71">
        <w:t xml:space="preserve"> allow the Company to validate the operational and performance metrics of a quick response unit.</w:t>
      </w:r>
      <w:r w:rsidR="00374D40">
        <w:t xml:space="preserve"> Also, as</w:t>
      </w:r>
      <w:r w:rsidR="00294623">
        <w:t xml:space="preserve"> previously discussed, the 2019 IRP reflects the Company’s plan to add 1,000</w:t>
      </w:r>
      <w:r w:rsidR="00152F2D">
        <w:t xml:space="preserve"> </w:t>
      </w:r>
      <w:r w:rsidR="00294623">
        <w:t xml:space="preserve">MW of new renewable resources. These resources will complement the </w:t>
      </w:r>
      <w:r w:rsidR="002242B7">
        <w:t>approximately 2,500</w:t>
      </w:r>
      <w:r w:rsidR="00152F2D">
        <w:t xml:space="preserve"> </w:t>
      </w:r>
      <w:r w:rsidR="00294623">
        <w:t>MW of</w:t>
      </w:r>
      <w:r w:rsidR="006D2577">
        <w:t xml:space="preserve"> </w:t>
      </w:r>
      <w:r w:rsidR="00294623">
        <w:t>planned and committed</w:t>
      </w:r>
      <w:r w:rsidR="006D2577">
        <w:t xml:space="preserve"> solar resources</w:t>
      </w:r>
      <w:r w:rsidR="00294623">
        <w:t>.</w:t>
      </w:r>
      <w:r w:rsidR="002242B7">
        <w:rPr>
          <w:rStyle w:val="FootnoteReference"/>
        </w:rPr>
        <w:footnoteReference w:id="6"/>
      </w:r>
      <w:r w:rsidR="00294623">
        <w:t xml:space="preserve"> Renewable resources are intermittent resources inherently dependent on weather conditions. </w:t>
      </w:r>
      <w:r w:rsidR="00782A4C">
        <w:t xml:space="preserve">Energy </w:t>
      </w:r>
      <w:r w:rsidR="0087656F">
        <w:t>s</w:t>
      </w:r>
      <w:r w:rsidR="00782A4C">
        <w:t>torage</w:t>
      </w:r>
      <w:r w:rsidR="00782A4C" w:rsidRPr="001C1D71">
        <w:t xml:space="preserve"> </w:t>
      </w:r>
      <w:r w:rsidR="00782A4C">
        <w:t>could prove to be</w:t>
      </w:r>
      <w:r w:rsidR="00782A4C" w:rsidRPr="001C1D71">
        <w:t xml:space="preserve"> a sound solution to address a wide range of challenges in the management of a diverse electric </w:t>
      </w:r>
      <w:r w:rsidR="00D01E85">
        <w:t xml:space="preserve">generating </w:t>
      </w:r>
      <w:r w:rsidR="00782A4C" w:rsidRPr="001C1D71">
        <w:t xml:space="preserve">fleet, such as dispatch operations optimization, compliance with current and future NERC standards, renewables peak energy shifting, firming, </w:t>
      </w:r>
      <w:r w:rsidR="00620605">
        <w:t xml:space="preserve">and </w:t>
      </w:r>
      <w:r w:rsidR="00782A4C" w:rsidRPr="001C1D71">
        <w:t>integration.</w:t>
      </w:r>
      <w:r w:rsidR="00782A4C">
        <w:t xml:space="preserve"> </w:t>
      </w:r>
    </w:p>
    <w:p w14:paraId="4D7E6AF2" w14:textId="4F0DEBF9" w:rsidR="00294623" w:rsidRDefault="00294623" w:rsidP="00E30369">
      <w:r>
        <w:t>While each of these benefits can be impactful</w:t>
      </w:r>
      <w:r w:rsidR="001C0E78">
        <w:t xml:space="preserve">, unless they are optimized and appropriately coordinated with grid operations, </w:t>
      </w:r>
      <w:r w:rsidR="00FB1887">
        <w:t>it is unlikely they</w:t>
      </w:r>
      <w:r>
        <w:t xml:space="preserve"> </w:t>
      </w:r>
      <w:r w:rsidR="00735D87">
        <w:t xml:space="preserve">will deliver the benefits </w:t>
      </w:r>
      <w:r>
        <w:t xml:space="preserve">in the manner expected. Therefore, the Company </w:t>
      </w:r>
      <w:r w:rsidR="00267A96">
        <w:t xml:space="preserve">seeks approval to acquire, own, </w:t>
      </w:r>
      <w:r w:rsidR="0075509C">
        <w:t xml:space="preserve">and </w:t>
      </w:r>
      <w:r w:rsidR="00007BD3">
        <w:t>implement these</w:t>
      </w:r>
      <w:r>
        <w:t xml:space="preserve"> battery </w:t>
      </w:r>
      <w:r w:rsidR="0081036B">
        <w:t xml:space="preserve">energy storage </w:t>
      </w:r>
      <w:r>
        <w:t xml:space="preserve">projects </w:t>
      </w:r>
      <w:r w:rsidR="00007BD3">
        <w:t>to</w:t>
      </w:r>
      <w:r>
        <w:t xml:space="preserve"> advance</w:t>
      </w:r>
      <w:r w:rsidR="00007BD3">
        <w:t xml:space="preserve"> </w:t>
      </w:r>
      <w:r w:rsidR="00267A96">
        <w:t xml:space="preserve">its </w:t>
      </w:r>
      <w:r>
        <w:t xml:space="preserve">understanding of storage capabilities while providing real-world operating experience to better integrate future storage </w:t>
      </w:r>
      <w:r w:rsidR="005E5E49">
        <w:t>projects</w:t>
      </w:r>
      <w:r>
        <w:t xml:space="preserve">. The Company’s approach </w:t>
      </w:r>
      <w:r w:rsidR="00267A96">
        <w:t xml:space="preserve">will </w:t>
      </w:r>
      <w:r>
        <w:t xml:space="preserve">provide the </w:t>
      </w:r>
      <w:r w:rsidR="001C0E78">
        <w:t xml:space="preserve">opportunity to test several of these value streams simultaneously </w:t>
      </w:r>
      <w:r w:rsidR="00007BD3">
        <w:t xml:space="preserve">and gain </w:t>
      </w:r>
      <w:r>
        <w:t xml:space="preserve">valuable insight into how to maximize the value of storage. </w:t>
      </w:r>
    </w:p>
    <w:p w14:paraId="33F7DA6A" w14:textId="5639DBB8" w:rsidR="004A3AA1" w:rsidRDefault="004A3AA1" w:rsidP="00817EA7">
      <w:pPr>
        <w:pStyle w:val="Heading2"/>
      </w:pPr>
      <w:bookmarkStart w:id="222" w:name="_Toc536209167"/>
      <w:bookmarkEnd w:id="221"/>
      <w:r>
        <w:t>Distributed Energy Resource</w:t>
      </w:r>
      <w:r w:rsidR="00C24839">
        <w:t>s</w:t>
      </w:r>
      <w:bookmarkEnd w:id="222"/>
    </w:p>
    <w:p w14:paraId="566F565A" w14:textId="7F9AE7DF" w:rsidR="00F62705" w:rsidRDefault="003676DC" w:rsidP="00F62705">
      <w:r w:rsidRPr="003676DC">
        <w:t>Technologies associated with DERs are experiencing cost declines while presenting new opportunities and challenges for future deployment and management on the distribution grid. Currently, the following resource types are commonly recognized forms of DERs: solar; battery storage; electric vehicles; small combined heat and power units; microturbines; internal combustion generators; flywheels; interruptible loads; critical pricing programs; demand response and energy efficiency programs; and Volt/VAR applications. Based on the variety of potential DER applications, the Company is preparing for greater integration of DERs by researching and evaluating the development of a DERMS platform while investigating DERs as NWAs.</w:t>
      </w:r>
      <w:r w:rsidR="00F62705">
        <w:t xml:space="preserve"> </w:t>
      </w:r>
    </w:p>
    <w:p w14:paraId="21978D4F" w14:textId="77777777" w:rsidR="00217097" w:rsidRPr="00E13DB5" w:rsidRDefault="00217097" w:rsidP="00217097">
      <w:pPr>
        <w:pStyle w:val="Heading3"/>
      </w:pPr>
      <w:r w:rsidRPr="00E13DB5">
        <w:t>Distributed Energy Resource Management System</w:t>
      </w:r>
    </w:p>
    <w:p w14:paraId="2022FCDE" w14:textId="33BE3C81" w:rsidR="003676DC" w:rsidRDefault="003676DC" w:rsidP="003676DC">
      <w:r>
        <w:t xml:space="preserve">Historically, the Company has installed hardware and software to deliver safe and reliable service on the distribution grid for one-way power flow by utilizing supervisory control and data acquisition (“SCADA”) systems. SCADA systems allow the Company to automatically and remotely isolate and restore electric service. Advanced distribution management systems (“ADMS”) enhance base SCADA systems by providing additional insight to grid dynamics including those brought about by DERs. ADMS platforms provide enhanced reliability and grid analytics that allow ADMS to serve as the foundation for new grid integration in the future. The complexity of the grid will continue to increase with the integration of DERs that create new supply-side resources operating in parallel with existing central-station generation resources. To effectively integrate these resources, utilities must be capable of remotely leveraging the advanced features of DERs. Therefore, continued investment in specialized grid hardware and software, known as DERMS, is required to effectively integrate increased deployment of resources and technology. Specifically, more granular insight into the distribution system allows for end-to-end monitoring, operation, and control of DERs necessary to effectively ensure safe, reliable, and </w:t>
      </w:r>
      <w:r w:rsidR="00951311">
        <w:t xml:space="preserve">affordable </w:t>
      </w:r>
      <w:r>
        <w:t>service to customers. DERMS is an emerging platform in the industry that is in the beginning stages of development and deployment. There are limitations in current DERMS technologies that may impede the immediate integration with existing systems including SCADA, fleet operations, and customer information systems.</w:t>
      </w:r>
    </w:p>
    <w:p w14:paraId="28D34FE4" w14:textId="3AC9DAFE" w:rsidR="004A3AA1" w:rsidRPr="00F678DF" w:rsidRDefault="003676DC" w:rsidP="003676DC">
      <w:r>
        <w:t xml:space="preserve">During the next three years, the Company will continue to </w:t>
      </w:r>
      <w:bookmarkStart w:id="223" w:name="_Hlk535828061"/>
      <w:r>
        <w:t>evaluate the design and development of a DERMS consisting of an end-to-end software platform and hardware integration for purposes of effective DER integration</w:t>
      </w:r>
      <w:bookmarkEnd w:id="223"/>
      <w:r>
        <w:t>. The scope of the DERMS evaluation will include consulting and research to review market-ready DER capabilities and develop requirements for integration. This evaluation is the beginning of a process to implement a market-ready, technology</w:t>
      </w:r>
      <w:r w:rsidR="00443FD9">
        <w:t xml:space="preserve">-indifferent </w:t>
      </w:r>
      <w:r>
        <w:t>hardware and software solution to integrate various DERs to centrally monitor and optimize the distribution system in real-time. During the evaluation process, the Company will test proven technologies in demonstration projects to capture the capabilities of DERMS for future system wide integration. The results of the evaluation will serve as the foundation to our future DERMS decisions and strategy.</w:t>
      </w:r>
    </w:p>
    <w:p w14:paraId="13E95E34" w14:textId="6966613B" w:rsidR="00630002" w:rsidRDefault="00630002" w:rsidP="00817EA7">
      <w:pPr>
        <w:pStyle w:val="Heading3"/>
      </w:pPr>
      <w:r>
        <w:t xml:space="preserve">Non-Wires Alternatives </w:t>
      </w:r>
    </w:p>
    <w:p w14:paraId="510B5950" w14:textId="07C44D0B" w:rsidR="00630002" w:rsidRDefault="00630002" w:rsidP="00630002">
      <w:r>
        <w:t>NWA</w:t>
      </w:r>
      <w:r w:rsidR="00711AC5">
        <w:t>s</w:t>
      </w:r>
      <w:r>
        <w:t xml:space="preserve"> are part of a growing trend toward increased </w:t>
      </w:r>
      <w:r w:rsidR="00870EF8">
        <w:t xml:space="preserve">T&amp;D </w:t>
      </w:r>
      <w:r>
        <w:t xml:space="preserve">grid flexibility, with smaller localized projects being </w:t>
      </w:r>
      <w:r w:rsidR="00954B88">
        <w:t xml:space="preserve">contemplated </w:t>
      </w:r>
      <w:r>
        <w:t xml:space="preserve">as alternatives to generally larger and more centralized projects intended to either </w:t>
      </w:r>
      <w:r w:rsidR="0075509C">
        <w:t xml:space="preserve">add or expand grid infrastructure capabilities. Implementing non-traditional </w:t>
      </w:r>
      <w:r>
        <w:t xml:space="preserve">solutions for </w:t>
      </w:r>
      <w:r w:rsidR="00870EF8">
        <w:t xml:space="preserve">T&amp;D </w:t>
      </w:r>
      <w:r>
        <w:t xml:space="preserve">system constraints </w:t>
      </w:r>
      <w:r w:rsidR="00620605">
        <w:t xml:space="preserve">may </w:t>
      </w:r>
      <w:r>
        <w:t xml:space="preserve">allow for the avoidance or deferral of traditional solutions. Typically, these </w:t>
      </w:r>
      <w:r w:rsidR="00782A4C">
        <w:t xml:space="preserve">non-traditional </w:t>
      </w:r>
      <w:r>
        <w:t>solutions utilize one or more DERs in a specific location to address changing load requirements and/or solve voltage, thermal, power quality and other electrical system constraints that would have required expansion or upgrades</w:t>
      </w:r>
      <w:r w:rsidR="002B0775">
        <w:t>.</w:t>
      </w:r>
    </w:p>
    <w:p w14:paraId="3B6E2F33" w14:textId="695592AD" w:rsidR="00630002" w:rsidRDefault="00630002" w:rsidP="00630002">
      <w:r>
        <w:t xml:space="preserve">Careful consideration for these alternatives must be </w:t>
      </w:r>
      <w:r w:rsidR="00007BD3">
        <w:t>made</w:t>
      </w:r>
      <w:r>
        <w:t xml:space="preserve"> to determine if NWA</w:t>
      </w:r>
      <w:r w:rsidR="00711AC5">
        <w:t>s</w:t>
      </w:r>
      <w:r>
        <w:t xml:space="preserve"> provide equivalent or </w:t>
      </w:r>
      <w:r w:rsidR="00007BD3">
        <w:t xml:space="preserve">increased </w:t>
      </w:r>
      <w:r>
        <w:t xml:space="preserve">benefits </w:t>
      </w:r>
      <w:r w:rsidR="00007BD3">
        <w:t xml:space="preserve">when compared to </w:t>
      </w:r>
      <w:r>
        <w:t xml:space="preserve">traditional </w:t>
      </w:r>
      <w:r w:rsidR="00870EF8">
        <w:t>T&amp;D</w:t>
      </w:r>
      <w:r w:rsidR="007C57B6">
        <w:t xml:space="preserve"> </w:t>
      </w:r>
      <w:r>
        <w:t xml:space="preserve">solutions. For example, an NWA, such as battery </w:t>
      </w:r>
      <w:r w:rsidR="00295C60">
        <w:t xml:space="preserve">energy </w:t>
      </w:r>
      <w:r>
        <w:t>storage, may solve a distribution line overload for 60% of the time when the line is overloaded, while traditional reconductoring would solve the problem 100% of the time and provide extra capacity for potential load growth.</w:t>
      </w:r>
      <w:r w:rsidR="007C57B6">
        <w:t xml:space="preserve"> </w:t>
      </w:r>
      <w:r w:rsidR="00295C60">
        <w:t>Also, total life cycle and ownership costs, including maintenance and replacement costs, must be incorporated when comparing non-wires and wires solutions. The</w:t>
      </w:r>
      <w:r>
        <w:t xml:space="preserve"> Company is cataloging the costs, feasibility, and use cases for these options and will consider them where more traditional solutions are not practical or economical</w:t>
      </w:r>
      <w:r w:rsidR="00954B88">
        <w:t>.</w:t>
      </w:r>
    </w:p>
    <w:p w14:paraId="1E1E62BB" w14:textId="346D46DF" w:rsidR="00562940" w:rsidRDefault="004A5F2A" w:rsidP="00562940">
      <w:r>
        <w:t>The Company currently uses the Transmission Planning Principles listed in</w:t>
      </w:r>
      <w:r w:rsidR="005E5E49">
        <w:t xml:space="preserve"> Technical Appendix</w:t>
      </w:r>
      <w:r>
        <w:t xml:space="preserve"> Volume 3 as a guideline to determine </w:t>
      </w:r>
      <w:r w:rsidR="00870EF8">
        <w:t>T&amp;D</w:t>
      </w:r>
      <w:r>
        <w:t xml:space="preserve"> substation needs and projects to address those needs in a reliable and least cost fashion. These needs can arise from several issues, including</w:t>
      </w:r>
      <w:r w:rsidR="0018149B">
        <w:t>,</w:t>
      </w:r>
      <w:r>
        <w:t xml:space="preserve"> but not limited to</w:t>
      </w:r>
      <w:r w:rsidR="0018149B">
        <w:t>,</w:t>
      </w:r>
      <w:r>
        <w:t xml:space="preserve"> load growth, electrical flow changes from unit retirements or additions, and existing equipment life cycle completions. </w:t>
      </w:r>
      <w:r w:rsidR="005A4526">
        <w:t xml:space="preserve">The Company routinely evaluates </w:t>
      </w:r>
      <w:r w:rsidR="00870EF8">
        <w:t>T&amp;D</w:t>
      </w:r>
      <w:r w:rsidR="005A4526">
        <w:t xml:space="preserve"> solutions, including NWA</w:t>
      </w:r>
      <w:r w:rsidR="00711AC5">
        <w:t>s</w:t>
      </w:r>
      <w:r w:rsidR="005A4526">
        <w:t xml:space="preserve">, to address these needs. </w:t>
      </w:r>
      <w:r>
        <w:t xml:space="preserve">As the Company continues to </w:t>
      </w:r>
      <w:r w:rsidR="005A4526">
        <w:t>update cost and application information associated with DER</w:t>
      </w:r>
      <w:r w:rsidR="00D75FA6">
        <w:t>s</w:t>
      </w:r>
      <w:r w:rsidR="005A4526">
        <w:t>, those resources will be considered along with traditional wire</w:t>
      </w:r>
      <w:r w:rsidR="002A17BC">
        <w:t>s</w:t>
      </w:r>
      <w:r w:rsidR="005A4526">
        <w:t xml:space="preserve"> </w:t>
      </w:r>
      <w:r w:rsidR="002A17BC">
        <w:t xml:space="preserve">solutions </w:t>
      </w:r>
      <w:r w:rsidR="00C24839">
        <w:t>as well as other NWA</w:t>
      </w:r>
      <w:r w:rsidR="00711AC5">
        <w:t>s</w:t>
      </w:r>
      <w:r w:rsidR="005A4526">
        <w:t>. Specifically, DER</w:t>
      </w:r>
      <w:r w:rsidR="00D75FA6">
        <w:t>s</w:t>
      </w:r>
      <w:r w:rsidR="005A4526">
        <w:t xml:space="preserve"> as NWA</w:t>
      </w:r>
      <w:r w:rsidR="00711AC5">
        <w:t>s</w:t>
      </w:r>
      <w:r w:rsidR="005A4526">
        <w:t xml:space="preserve"> will be evaluated based on their ability to address </w:t>
      </w:r>
      <w:r w:rsidR="00870EF8">
        <w:t>T&amp;D</w:t>
      </w:r>
      <w:r w:rsidR="005A4526">
        <w:t xml:space="preserve"> needs,</w:t>
      </w:r>
      <w:r w:rsidR="00A77701">
        <w:t xml:space="preserve"> the</w:t>
      </w:r>
      <w:r w:rsidR="005A4526">
        <w:t xml:space="preserve"> necessary lead-time for procurement and installation, and a </w:t>
      </w:r>
      <w:r w:rsidR="002A17BC">
        <w:t>financial analysis over the life of the asset</w:t>
      </w:r>
      <w:r w:rsidR="005A4526">
        <w:t>. The Company will select the best overall solution that complies with NERC Reliability Standards</w:t>
      </w:r>
      <w:r w:rsidR="009906F4">
        <w:t xml:space="preserve"> </w:t>
      </w:r>
      <w:r w:rsidR="005A4526">
        <w:t>and maintains System reliability.</w:t>
      </w:r>
      <w:r w:rsidR="00A77701">
        <w:t xml:space="preserve"> </w:t>
      </w:r>
    </w:p>
    <w:p w14:paraId="190D16F0" w14:textId="6AE69729" w:rsidR="005871E1" w:rsidRPr="007869EA" w:rsidRDefault="005871E1" w:rsidP="00DD7EC0">
      <w:bookmarkStart w:id="224" w:name="_Ref531354510"/>
      <w:bookmarkStart w:id="225" w:name="_Ref531544867"/>
      <w:r>
        <w:br w:type="page"/>
      </w:r>
    </w:p>
    <w:p w14:paraId="7FFA0F27" w14:textId="3A738375" w:rsidR="00352B65" w:rsidRPr="00352B65" w:rsidRDefault="00352B65" w:rsidP="006549EE">
      <w:pPr>
        <w:pStyle w:val="Heading1"/>
      </w:pPr>
      <w:bookmarkStart w:id="226" w:name="_Ref532996905"/>
      <w:bookmarkStart w:id="227" w:name="_Ref532997316"/>
      <w:bookmarkStart w:id="228" w:name="_Ref532997619"/>
      <w:bookmarkStart w:id="229" w:name="_Ref532997665"/>
      <w:bookmarkStart w:id="230" w:name="_Toc536209168"/>
      <w:r>
        <w:t>WHOLESALE GENERATION</w:t>
      </w:r>
      <w:bookmarkEnd w:id="224"/>
      <w:bookmarkEnd w:id="225"/>
      <w:bookmarkEnd w:id="226"/>
      <w:bookmarkEnd w:id="227"/>
      <w:bookmarkEnd w:id="228"/>
      <w:bookmarkEnd w:id="229"/>
      <w:bookmarkEnd w:id="230"/>
    </w:p>
    <w:p w14:paraId="12E37442" w14:textId="77777777" w:rsidR="00A21CDE" w:rsidRDefault="00A21CDE" w:rsidP="00A21CDE">
      <w:r>
        <w:t xml:space="preserve">The Commission’s </w:t>
      </w:r>
      <w:r w:rsidRPr="00565C5D">
        <w:t xml:space="preserve">July </w:t>
      </w:r>
      <w:r>
        <w:t>30</w:t>
      </w:r>
      <w:r w:rsidRPr="00565C5D">
        <w:t xml:space="preserve">, 2008 Order </w:t>
      </w:r>
      <w:r>
        <w:t xml:space="preserve">in Docket No. 26550 </w:t>
      </w:r>
      <w:r w:rsidRPr="00565C5D">
        <w:t xml:space="preserve">obligates Georgia Power to offer </w:t>
      </w:r>
      <w:r>
        <w:t>certain wholesale resource blocks</w:t>
      </w:r>
      <w:r w:rsidRPr="00565C5D">
        <w:t xml:space="preserve"> to </w:t>
      </w:r>
      <w:r>
        <w:t xml:space="preserve">the </w:t>
      </w:r>
      <w:r w:rsidRPr="00565C5D">
        <w:t>ret</w:t>
      </w:r>
      <w:r>
        <w:t>ail jurisdiction on then-current</w:t>
      </w:r>
      <w:r w:rsidRPr="00565C5D">
        <w:t xml:space="preserve"> wholesale </w:t>
      </w:r>
      <w:r>
        <w:t>market terms</w:t>
      </w:r>
      <w:r w:rsidRPr="00120996">
        <w:t xml:space="preserve">. </w:t>
      </w:r>
      <w:r>
        <w:t xml:space="preserve">Previous wholesale capacity blocks offered under this arrangement have been accepted by the Commission. </w:t>
      </w:r>
      <w:r w:rsidRPr="00120996">
        <w:t xml:space="preserve">As additional wholesale contracts expire, the Company </w:t>
      </w:r>
      <w:r>
        <w:t>e</w:t>
      </w:r>
      <w:r w:rsidRPr="00120996">
        <w:t>valuate</w:t>
      </w:r>
      <w:r>
        <w:t>s</w:t>
      </w:r>
      <w:r w:rsidRPr="00120996">
        <w:t xml:space="preserve"> when to offer wholesale capacity blocks to </w:t>
      </w:r>
      <w:r>
        <w:t xml:space="preserve">the </w:t>
      </w:r>
      <w:r w:rsidRPr="00120996">
        <w:t xml:space="preserve">retail </w:t>
      </w:r>
      <w:r>
        <w:t>jurisdiction</w:t>
      </w:r>
      <w:r w:rsidRPr="00120996">
        <w:t>.</w:t>
      </w:r>
    </w:p>
    <w:p w14:paraId="3AEFC74B" w14:textId="56AB806E" w:rsidR="00A21CDE" w:rsidRDefault="00A21CDE" w:rsidP="00A21CDE">
      <w:r>
        <w:t>Approximately 25 MW of Plant Scherer Unit 3 capacity is currently under contract to Flint EMC through December 31, 2019. Georgia Power is offering the 25 MW of capacity to the retail jurisdiction to serve retail customers when the capacity becomes available on January 1, 2020.</w:t>
      </w:r>
    </w:p>
    <w:p w14:paraId="1BBD4E62" w14:textId="7030B6FF" w:rsidR="00A21CDE" w:rsidRDefault="00A21CDE" w:rsidP="00A21CDE">
      <w:bookmarkStart w:id="231" w:name="_Hlk531860101"/>
      <w:r>
        <w:t xml:space="preserve">In prior wholesale capacity offers, the Company has utilized, and the Commission has approved, the application of a Market Differential Adjustment (“MDA”) to meet the requirement that the transaction be offered at then-current wholesale market terms. The MDA represents the difference between the </w:t>
      </w:r>
      <w:r w:rsidR="00225DA4">
        <w:t>market</w:t>
      </w:r>
      <w:r>
        <w:t xml:space="preserve"> price and the levelized revenue requirement of the net asset over its remaining useful life, expressed on a dollar per kilowatt-month basis. Since the July 2008 Order has been in place, the Company has made multiple wholesale offerings to the retail jurisdiction, resulting in a range of MDAs, depending on the generation resource involved and the wholesale conditions present at the time. </w:t>
      </w:r>
      <w:bookmarkEnd w:id="231"/>
      <w:r>
        <w:t>The Company recognizes the importance of maintaining fuel diversity, and, thus, proposes to offer the Plant Scherer capacity to the retail jurisdiction, under the same MDA construct utilized previously, effective when it becomes available with the expiration of the Flint EMC contract at the end of this calendar year.</w:t>
      </w:r>
    </w:p>
    <w:p w14:paraId="4874B9AD" w14:textId="3FF21D50" w:rsidR="00A21CDE" w:rsidRDefault="00A21CDE" w:rsidP="00A21CDE">
      <w:r>
        <w:t xml:space="preserve">If the Commission accepts the Company’s offer of approximately 25 MW of Plant Scherer Unit 3 to the retail jurisdiction, the Company requests that the capacity also be granted certification in this IRP. </w:t>
      </w:r>
      <w:bookmarkStart w:id="232" w:name="_Hlk531857847"/>
      <w:r>
        <w:t>Given the loss of significant coal capacity in the past several years, the request to decertify additional coal capacity at Plants Hammond and McIntosh in this IRP</w:t>
      </w:r>
      <w:r w:rsidR="004539A2">
        <w:t>,</w:t>
      </w:r>
      <w:r>
        <w:t xml:space="preserve"> and </w:t>
      </w:r>
      <w:r w:rsidR="00EA6B68">
        <w:t xml:space="preserve">the </w:t>
      </w:r>
      <w:r>
        <w:t>uncertain future of Plant Bowen Units 1</w:t>
      </w:r>
      <w:r w:rsidR="00EA6B68">
        <w:t>-</w:t>
      </w:r>
      <w:r>
        <w:t xml:space="preserve">2, the Company believes it is appropriate to take this opportunity to acquire additional capacity from the Company’s </w:t>
      </w:r>
      <w:r w:rsidR="000813B3">
        <w:t xml:space="preserve">most economical </w:t>
      </w:r>
      <w:r>
        <w:t>coal resource, Plant Scherer.</w:t>
      </w:r>
    </w:p>
    <w:bookmarkEnd w:id="232"/>
    <w:p w14:paraId="73812129" w14:textId="623B08E9" w:rsidR="006E6CA4" w:rsidRDefault="00A21CDE" w:rsidP="00A21CDE">
      <w:r>
        <w:t>Additional information on the offer can be found in the Selected Supporting Information section of Technical Appendix Volume 1, with the formal certification request included in the 2019 Certification Application</w:t>
      </w:r>
      <w:r w:rsidR="00D93B9F">
        <w:t xml:space="preserve"> in </w:t>
      </w:r>
      <w:r w:rsidR="00C857AA">
        <w:fldChar w:fldCharType="begin"/>
      </w:r>
      <w:r w:rsidR="00C857AA">
        <w:instrText xml:space="preserve"> REF _Ref533152765 \n \h </w:instrText>
      </w:r>
      <w:r w:rsidR="00C857AA">
        <w:fldChar w:fldCharType="separate"/>
      </w:r>
      <w:r w:rsidR="00F33DA2">
        <w:t>ATTACHMENT D</w:t>
      </w:r>
      <w:r w:rsidR="00C857AA">
        <w:fldChar w:fldCharType="end"/>
      </w:r>
      <w:r>
        <w:t>.</w:t>
      </w:r>
      <w:r w:rsidR="006E6CA4">
        <w:br w:type="page"/>
      </w:r>
    </w:p>
    <w:p w14:paraId="62D882E4" w14:textId="6C611658" w:rsidR="0087005E" w:rsidRDefault="0087005E" w:rsidP="006549EE">
      <w:pPr>
        <w:pStyle w:val="Heading1"/>
      </w:pPr>
      <w:bookmarkStart w:id="233" w:name="_Toc536209169"/>
      <w:bookmarkStart w:id="234" w:name="_Hlk535309890"/>
      <w:bookmarkStart w:id="235" w:name="_Hlk535434393"/>
      <w:r>
        <w:t>TRANSMISSION</w:t>
      </w:r>
      <w:bookmarkEnd w:id="233"/>
    </w:p>
    <w:p w14:paraId="0A4228C0" w14:textId="50C7B34F" w:rsidR="004576B2" w:rsidRDefault="00477DC7" w:rsidP="006549EE">
      <w:r>
        <w:t>This IRP includes the Company’s ten-year transmission plan, which identifies the transmission improvements needed to maintain a strong and reliable transmission system, based upon current planning assumptions. Along with the ten-year plan, Georgia Power has included a comprehensive and detailed bulk transmission plan of the Georgia ITS summarizing studies, project lists, processes, data files and other information as required by the amended Rules adopted by the Commission in Docket No. 25981.</w:t>
      </w:r>
    </w:p>
    <w:p w14:paraId="001D206C" w14:textId="383D905D" w:rsidR="00935C0C" w:rsidRDefault="00B97523" w:rsidP="00817EA7">
      <w:pPr>
        <w:pStyle w:val="Heading2"/>
      </w:pPr>
      <w:bookmarkStart w:id="236" w:name="_Toc536209170"/>
      <w:bookmarkEnd w:id="234"/>
      <w:r>
        <w:t>Transmission Planning Principles</w:t>
      </w:r>
      <w:bookmarkEnd w:id="236"/>
    </w:p>
    <w:p w14:paraId="78717B24" w14:textId="3B505EB4" w:rsidR="00935C0C" w:rsidRDefault="00935C0C" w:rsidP="006549EE">
      <w:r>
        <w:t>The purpose of the transmission planning principles is to provide an overview of the standards and criteria that are used for transmission expansion and upgrade proposals.</w:t>
      </w:r>
      <w:r w:rsidR="00C36C94">
        <w:t xml:space="preserve"> </w:t>
      </w:r>
      <w:r>
        <w:t>These principles are designed to help ensure the coordinated development of a reliable, efficient, and economical electric power system for the transmission of electricity for the long-term benefit of the transmission users.</w:t>
      </w:r>
      <w:r w:rsidR="00C36C94">
        <w:t xml:space="preserve"> </w:t>
      </w:r>
      <w:r>
        <w:t>These principles also recognize that planning should be proactive to ensure timely system adjustments, upgrades, and expansions.</w:t>
      </w:r>
      <w:r w:rsidR="00C36C94">
        <w:t xml:space="preserve"> </w:t>
      </w:r>
      <w:r>
        <w:t>The principles that apply to Georgia Power’s transmission planning are as follows:</w:t>
      </w:r>
    </w:p>
    <w:p w14:paraId="303FF0A6" w14:textId="4732EF9A" w:rsidR="00C3351B" w:rsidRDefault="00C3351B" w:rsidP="00DD00CB">
      <w:pPr>
        <w:pStyle w:val="ListParagraph"/>
        <w:numPr>
          <w:ilvl w:val="0"/>
          <w:numId w:val="32"/>
        </w:numPr>
        <w:contextualSpacing w:val="0"/>
      </w:pPr>
      <w:r>
        <w:t>Identify and recommend projects that are consistent with the Guidelines for Planning the ITS and the Guidelines for Planning the Southern Company Electric Transmission System;</w:t>
      </w:r>
    </w:p>
    <w:p w14:paraId="1FFFEA85" w14:textId="60A8EB79" w:rsidR="00C3351B" w:rsidRDefault="00C3351B" w:rsidP="00DD00CB">
      <w:pPr>
        <w:pStyle w:val="ListParagraph"/>
        <w:numPr>
          <w:ilvl w:val="0"/>
          <w:numId w:val="32"/>
        </w:numPr>
        <w:contextualSpacing w:val="0"/>
      </w:pPr>
      <w:r>
        <w:t>Identify and recommend projects that are consistent with the NERC Reliability Standards;</w:t>
      </w:r>
    </w:p>
    <w:p w14:paraId="37D4BE78" w14:textId="2EDDDC96" w:rsidR="00C3351B" w:rsidRDefault="00C3351B" w:rsidP="00DD00CB">
      <w:pPr>
        <w:pStyle w:val="ListParagraph"/>
        <w:numPr>
          <w:ilvl w:val="0"/>
          <w:numId w:val="32"/>
        </w:numPr>
        <w:contextualSpacing w:val="0"/>
      </w:pPr>
      <w:r>
        <w:t>Minimize costs associated with the transmission system expansion, considering the impact to system reliability;</w:t>
      </w:r>
    </w:p>
    <w:p w14:paraId="779BC660" w14:textId="29FCBBC2" w:rsidR="00C3351B" w:rsidRDefault="00C3351B" w:rsidP="00DD00CB">
      <w:pPr>
        <w:pStyle w:val="ListParagraph"/>
        <w:numPr>
          <w:ilvl w:val="0"/>
          <w:numId w:val="32"/>
        </w:numPr>
        <w:contextualSpacing w:val="0"/>
      </w:pPr>
      <w:r>
        <w:t>Identify projects with sufficient lead-time to provide for the timely construction of new transmission facilities;</w:t>
      </w:r>
    </w:p>
    <w:p w14:paraId="2E164757" w14:textId="4B5E5DA5" w:rsidR="00C3351B" w:rsidRDefault="00C3351B" w:rsidP="00DD00CB">
      <w:pPr>
        <w:pStyle w:val="ListParagraph"/>
        <w:numPr>
          <w:ilvl w:val="0"/>
          <w:numId w:val="32"/>
        </w:numPr>
        <w:contextualSpacing w:val="0"/>
      </w:pPr>
      <w:r>
        <w:t xml:space="preserve">Coordinate transmission system plans with the plans developed by </w:t>
      </w:r>
      <w:r w:rsidR="00217097">
        <w:t xml:space="preserve">Georgia Power’s </w:t>
      </w:r>
      <w:r>
        <w:t>Power Delivery Planning groups;</w:t>
      </w:r>
    </w:p>
    <w:p w14:paraId="27BB8ED4" w14:textId="7934F7BE" w:rsidR="00C3351B" w:rsidRDefault="00C3351B" w:rsidP="00DD00CB">
      <w:pPr>
        <w:pStyle w:val="ListParagraph"/>
        <w:numPr>
          <w:ilvl w:val="0"/>
          <w:numId w:val="32"/>
        </w:numPr>
        <w:contextualSpacing w:val="0"/>
      </w:pPr>
      <w:r>
        <w:t xml:space="preserve">Coordinate transmission system plans with all ITS </w:t>
      </w:r>
      <w:r w:rsidR="0021743E">
        <w:t>P</w:t>
      </w:r>
      <w:r>
        <w:t>articipants and other transmission owners to enhance reliability and minimize associated costs;</w:t>
      </w:r>
    </w:p>
    <w:p w14:paraId="616313A9" w14:textId="7E3B50DD" w:rsidR="00C3351B" w:rsidRDefault="00C3351B" w:rsidP="00DD00CB">
      <w:pPr>
        <w:pStyle w:val="ListParagraph"/>
        <w:numPr>
          <w:ilvl w:val="0"/>
          <w:numId w:val="32"/>
        </w:numPr>
        <w:contextualSpacing w:val="0"/>
      </w:pPr>
      <w:r>
        <w:t xml:space="preserve">Coordinate future transmission plans with other </w:t>
      </w:r>
      <w:r w:rsidR="00217097">
        <w:t xml:space="preserve">Georgia Power </w:t>
      </w:r>
      <w:r>
        <w:t xml:space="preserve">departments, other ITS </w:t>
      </w:r>
      <w:r w:rsidR="0021743E">
        <w:t>P</w:t>
      </w:r>
      <w:r>
        <w:t>articipants, other SCS departments and the regions surrounding the Southeast in the project development and planning processes;</w:t>
      </w:r>
    </w:p>
    <w:p w14:paraId="30F62086" w14:textId="6358873F" w:rsidR="00C3351B" w:rsidRDefault="00C3351B" w:rsidP="00DD00CB">
      <w:pPr>
        <w:pStyle w:val="ListParagraph"/>
        <w:numPr>
          <w:ilvl w:val="0"/>
          <w:numId w:val="32"/>
        </w:numPr>
        <w:contextualSpacing w:val="0"/>
      </w:pPr>
      <w:r>
        <w:t>Maintain adequate interconnections with neighboring utilities;</w:t>
      </w:r>
    </w:p>
    <w:p w14:paraId="6D4A7E42" w14:textId="449A2AE4" w:rsidR="00C3351B" w:rsidRDefault="00C3351B" w:rsidP="00DD00CB">
      <w:pPr>
        <w:pStyle w:val="ListParagraph"/>
        <w:numPr>
          <w:ilvl w:val="0"/>
          <w:numId w:val="32"/>
        </w:numPr>
        <w:contextualSpacing w:val="0"/>
      </w:pPr>
      <w:r>
        <w:t xml:space="preserve">Communicate with </w:t>
      </w:r>
      <w:r w:rsidR="00217097">
        <w:t xml:space="preserve">Georgia Power </w:t>
      </w:r>
      <w:r>
        <w:t>management to ensure proper awareness of the importance of adequate transmission improvements and system expansion;</w:t>
      </w:r>
    </w:p>
    <w:p w14:paraId="5DDA920D" w14:textId="141FBA47" w:rsidR="00C3351B" w:rsidRDefault="00C3351B" w:rsidP="00DD00CB">
      <w:pPr>
        <w:pStyle w:val="ListParagraph"/>
        <w:numPr>
          <w:ilvl w:val="0"/>
          <w:numId w:val="32"/>
        </w:numPr>
        <w:contextualSpacing w:val="0"/>
      </w:pPr>
      <w:r>
        <w:t>Utilize existing resources (for example, reusing rights of way, implementing voltage conversions, constructing double-circuit lines) where feasible;</w:t>
      </w:r>
    </w:p>
    <w:p w14:paraId="2521E21A" w14:textId="0888B568" w:rsidR="00C3351B" w:rsidRDefault="00C3351B" w:rsidP="00DD00CB">
      <w:pPr>
        <w:pStyle w:val="ListParagraph"/>
        <w:numPr>
          <w:ilvl w:val="0"/>
          <w:numId w:val="32"/>
        </w:numPr>
        <w:contextualSpacing w:val="0"/>
      </w:pPr>
      <w:r>
        <w:t>Minimize transmission losses when cost effective; and</w:t>
      </w:r>
    </w:p>
    <w:p w14:paraId="1FEBD012" w14:textId="77777777" w:rsidR="00C3351B" w:rsidRDefault="00C3351B" w:rsidP="00DD00CB">
      <w:pPr>
        <w:pStyle w:val="ListParagraph"/>
        <w:numPr>
          <w:ilvl w:val="0"/>
          <w:numId w:val="32"/>
        </w:numPr>
        <w:contextualSpacing w:val="0"/>
      </w:pPr>
      <w:r>
        <w:t>Avoid the loss of life to transmission equipment from forced operation at higher loading levels.</w:t>
      </w:r>
    </w:p>
    <w:p w14:paraId="0092E9B1" w14:textId="3877FD9C" w:rsidR="00935C0C" w:rsidRDefault="00935C0C" w:rsidP="00736554">
      <w:r>
        <w:t xml:space="preserve">These principles provide guidance to </w:t>
      </w:r>
      <w:r w:rsidR="00C3351B">
        <w:t xml:space="preserve">Transmission </w:t>
      </w:r>
      <w:r>
        <w:t>planners and/or planning authorities that are called upon to explore existing issues and any future problems encountered in the transmission planning process.</w:t>
      </w:r>
    </w:p>
    <w:p w14:paraId="1F1BCAD9" w14:textId="6C68C8BB" w:rsidR="00935C0C" w:rsidRDefault="00B97523" w:rsidP="00817EA7">
      <w:pPr>
        <w:pStyle w:val="Heading2"/>
      </w:pPr>
      <w:bookmarkStart w:id="237" w:name="_Toc536209171"/>
      <w:bookmarkStart w:id="238" w:name="_Hlk534724572"/>
      <w:r>
        <w:t>Ten-Year Transmission Plan</w:t>
      </w:r>
      <w:bookmarkEnd w:id="237"/>
    </w:p>
    <w:p w14:paraId="0841AC5F" w14:textId="613CFDEA" w:rsidR="00935C0C" w:rsidRDefault="001C0E78" w:rsidP="00293E04">
      <w:r>
        <w:t xml:space="preserve">Georgia Power is a member of the ITS, which consists of the physical equipment necessary to </w:t>
      </w:r>
      <w:r w:rsidR="00935C0C">
        <w:t>transmit power from the generating plants and interconnection points to the local area distribution</w:t>
      </w:r>
      <w:r w:rsidR="00293E04">
        <w:t xml:space="preserve"> load</w:t>
      </w:r>
      <w:r w:rsidR="00935C0C">
        <w:t xml:space="preserve"> centers.</w:t>
      </w:r>
      <w:r w:rsidR="00C36C94">
        <w:t xml:space="preserve"> </w:t>
      </w:r>
      <w:r w:rsidR="00935C0C">
        <w:t xml:space="preserve">The ITS </w:t>
      </w:r>
      <w:r w:rsidR="00293E04">
        <w:t xml:space="preserve">consists of electric transmission facilities that are individually owned and maintained by the ITS </w:t>
      </w:r>
      <w:r w:rsidR="0021743E">
        <w:t>P</w:t>
      </w:r>
      <w:r w:rsidR="007D413D">
        <w:t>articipants</w:t>
      </w:r>
      <w:r w:rsidR="00935C0C">
        <w:t>.</w:t>
      </w:r>
      <w:r w:rsidR="00C36C94">
        <w:t xml:space="preserve"> </w:t>
      </w:r>
      <w:r w:rsidR="00935C0C">
        <w:t>Transmission planning embodies investment decisions required to maintain</w:t>
      </w:r>
      <w:r w:rsidR="00293E04">
        <w:t xml:space="preserve"> sufficient capacity in the </w:t>
      </w:r>
      <w:r w:rsidR="00935C0C">
        <w:t>ITS</w:t>
      </w:r>
      <w:r w:rsidR="00293E04">
        <w:t xml:space="preserve"> to reliably meet the power needs of the public. </w:t>
      </w:r>
      <w:r w:rsidR="00293E04" w:rsidRPr="00293E04">
        <w:t xml:space="preserve">Justifications for these decisions are based on technical and economic evaluations of options that may be implemented to meet these needs. Under the ITS Agreements, the ITS </w:t>
      </w:r>
      <w:r w:rsidR="0021743E">
        <w:t>P</w:t>
      </w:r>
      <w:r w:rsidR="00293E04" w:rsidRPr="00293E04">
        <w:t>articipants are responsible for meeting their full load requirements, including generation, and are responsible for making improvements to their facilities to accommodate transmission improvements required by load growth or system reliability.</w:t>
      </w:r>
    </w:p>
    <w:p w14:paraId="45ACE8FB" w14:textId="1E802C34" w:rsidR="00293E04" w:rsidRDefault="00293E04" w:rsidP="00293E04">
      <w:r>
        <w:t xml:space="preserve">Transmission Planning-East (“TP-E”) </w:t>
      </w:r>
      <w:r w:rsidRPr="00293E04">
        <w:t xml:space="preserve">of </w:t>
      </w:r>
      <w:r>
        <w:t>SCS</w:t>
      </w:r>
      <w:r w:rsidRPr="00293E04">
        <w:t xml:space="preserve"> and Power Delivery System Performance of </w:t>
      </w:r>
      <w:r w:rsidR="00217097">
        <w:t>Georgia Power</w:t>
      </w:r>
      <w:r w:rsidRPr="00293E04">
        <w:t xml:space="preserve">, with input from Power Delivery Operations of </w:t>
      </w:r>
      <w:r w:rsidR="00217097">
        <w:t>Georgia Power</w:t>
      </w:r>
      <w:r w:rsidRPr="00293E04">
        <w:t xml:space="preserve">, are responsible for planning the transmission system for </w:t>
      </w:r>
      <w:r w:rsidR="00217097">
        <w:t>Georgia Power</w:t>
      </w:r>
      <w:r w:rsidRPr="00293E04">
        <w:t>. TP-E develops a planning model of the transmission system for each year for ten years into the future. This planning model is used to identify transmission problems and to evaluate alternative solutions to those problems.</w:t>
      </w:r>
    </w:p>
    <w:bookmarkEnd w:id="238"/>
    <w:p w14:paraId="4CDD75D1" w14:textId="3C5BFBC9" w:rsidR="006E6CA4" w:rsidRDefault="00935C0C" w:rsidP="00935C0C">
      <w:r>
        <w:t>All Transmission Planning information is provided in Technical Appendix Volume 3 per the Commission’s 2007 IRP Order and the amended rules adopted by the Commission in Docket No. 25981.</w:t>
      </w:r>
      <w:r w:rsidR="00C36C94">
        <w:t xml:space="preserve"> </w:t>
      </w:r>
      <w:r>
        <w:t>Additional Transmission Planning information required per Docket No. 31081 is available in Technical Appendix Volume 3.</w:t>
      </w:r>
      <w:bookmarkEnd w:id="235"/>
    </w:p>
    <w:p w14:paraId="2FD71A73" w14:textId="77777777" w:rsidR="006E6CA4" w:rsidRDefault="006E6CA4">
      <w:pPr>
        <w:spacing w:after="160" w:line="259" w:lineRule="auto"/>
        <w:jc w:val="left"/>
      </w:pPr>
      <w:r>
        <w:br w:type="page"/>
      </w:r>
    </w:p>
    <w:p w14:paraId="5BA47172" w14:textId="21395045" w:rsidR="005E2E2C" w:rsidRDefault="005E2E2C" w:rsidP="00817EA7">
      <w:pPr>
        <w:pStyle w:val="Heading1"/>
      </w:pPr>
      <w:bookmarkStart w:id="239" w:name="_Ref535953503"/>
      <w:bookmarkStart w:id="240" w:name="_Toc536209172"/>
      <w:bookmarkStart w:id="241" w:name="_Ref528139529"/>
      <w:r>
        <w:t>EMERGING RESILIENCE NEEDS</w:t>
      </w:r>
      <w:bookmarkEnd w:id="239"/>
      <w:bookmarkEnd w:id="240"/>
    </w:p>
    <w:p w14:paraId="31DEFD79" w14:textId="55D3B59D" w:rsidR="005E2E2C" w:rsidRDefault="005E2E2C" w:rsidP="005E2E2C">
      <w:r>
        <w:t>As society develops and becomes increasingly reliant on electric energy, the Company remains committed to maintaining a robust and resilient electric system that is capable of reliably delivering electric energy, even in the face of unexpected events such as natural and man-</w:t>
      </w:r>
      <w:r w:rsidR="001C55EC">
        <w:t>initiated</w:t>
      </w:r>
      <w:r>
        <w:t xml:space="preserve"> </w:t>
      </w:r>
      <w:r w:rsidR="001C55EC">
        <w:t>disruptions</w:t>
      </w:r>
      <w:r>
        <w:t xml:space="preserve">. The Company has an excellent track record managing and planning for reliability risk through its reserve margin process, transmission planning analysis, and similar reliability studies, while also demonstrating substantial commitment to infrastructure protection initiatives. As the Company continues to evolve its generation fleet toward a larger share of resources that either have no on-site fuel storage or are intermittent, there is increased fuel transportation risk associated with providing reliable electric service to customers. Additionally, the threat of high-impact events that have low probability, such as physical- and cyber-attacks, continues to grow.  Therefore, as customers and the economy become increasingly dependent on electricity, it is all the more important that the Company remain vigilant in its commitment to maintaining a robust and resilient electric system that is capable of delivering clean, safe, reliable, and affordable energy to its customers.  </w:t>
      </w:r>
    </w:p>
    <w:p w14:paraId="17561CC5" w14:textId="2F92BC52" w:rsidR="005E2E2C" w:rsidRDefault="005E2E2C" w:rsidP="005E2E2C">
      <w:r>
        <w:t>The resilience of the power delivery system can be narrowed to items specifically at the circuit level or more broadly at the bulk power system level. At the circuit level, the Company will continue to address resilience in ways that will cost effectively provide consistent levels of sustained reliability. For example, the Company will continue to focus on implementing self-restoring networks, utilizing advanced control and monitoring technologies, targeted undergrounding of infrastructure, strategic infrastructure segmentation to expedite restoration, implementation of additional feeder ties, and the replacement of aging transformers, lines, and structures.</w:t>
      </w:r>
    </w:p>
    <w:p w14:paraId="0B397999" w14:textId="4F17789F" w:rsidR="005E2E2C" w:rsidRDefault="005E2E2C" w:rsidP="005E2E2C">
      <w:r>
        <w:t>At the bulk power system level, the Company routinely evaluates various contingencies as part of its Transmission Planning process and proposes projects to mitigate the risks associated with these contingencies. This level of planning meets or exceeds current NERC standards. However, as the Company’s generation resource mix continues to change, utilizing less coal and more renewables and gas generation, continued transmission planning considerations must be given to these changing conditions to ensure future reliability and resilience of the bulk power system. This may require additional assessments of contingencies that may affect the IRP. Such assessments should focus on the simultaneous failure of multiple elements of the electricity supply chain such as transmission substations, gas pipelines, communication infrastructure</w:t>
      </w:r>
      <w:r w:rsidR="001C55EC">
        <w:t>,</w:t>
      </w:r>
      <w:r>
        <w:t xml:space="preserve"> and generating stations. In many cases, this level of assessment is beyond current NERC planning standards. As a result, projects which may minimize or eliminate the potential for high-impact outcomes may not be required or proposed. </w:t>
      </w:r>
      <w:r w:rsidR="001C55EC">
        <w:t>However</w:t>
      </w:r>
      <w:r>
        <w:t xml:space="preserve">, when in the best interest of customers, the Company may propose projects to address such scenarios and conditions in accordance with its ITS joint planning process. </w:t>
      </w:r>
    </w:p>
    <w:p w14:paraId="45B4D69F" w14:textId="693C98D3" w:rsidR="005E2E2C" w:rsidRDefault="005E2E2C" w:rsidP="005E2E2C">
      <w:r>
        <w:t xml:space="preserve">Similar to transmission assessments, the Company regularly evaluates generation risks such as outage risk, weather risk, and even fuel transportation risk as demonstrated in its Reserve Margin Study. </w:t>
      </w:r>
      <w:r w:rsidR="00EC11E1">
        <w:t>T</w:t>
      </w:r>
      <w:r>
        <w:t xml:space="preserve">his study does not focus on other potential long duration, high impact events. Rather the objective of the Company’s overall planning process is to maintain reliable and affordable service across a range of possible futures that represent anticipated recurrence of past variations in weather, loads, etc. This planning process has resulted in retirements of over </w:t>
      </w:r>
      <w:r w:rsidR="00EC11E1">
        <w:t>3</w:t>
      </w:r>
      <w:r>
        <w:t>,100</w:t>
      </w:r>
      <w:r w:rsidR="006A4506">
        <w:t> </w:t>
      </w:r>
      <w:r>
        <w:t>MW of coal capacity representing approximately 2</w:t>
      </w:r>
      <w:r w:rsidR="00EC11E1">
        <w:t>0</w:t>
      </w:r>
      <w:r>
        <w:t xml:space="preserve">% of the Company’s 2018 peak load and these retirements were in the best economic interests of our customers. In this IRP, the Company is proposing to retire </w:t>
      </w:r>
      <w:r w:rsidR="00F25BFB">
        <w:t xml:space="preserve">an additional </w:t>
      </w:r>
      <w:r w:rsidR="00EC11E1">
        <w:t>982.5 MW of coal capacity at Plant</w:t>
      </w:r>
      <w:r w:rsidR="00F25BFB">
        <w:t>s</w:t>
      </w:r>
      <w:r w:rsidR="00EC11E1">
        <w:t xml:space="preserve"> Hammond and McIntosh.</w:t>
      </w:r>
      <w:r>
        <w:t xml:space="preserve"> These retirements are also in the best economic interest</w:t>
      </w:r>
      <w:r w:rsidR="000A03A1">
        <w:t>s</w:t>
      </w:r>
      <w:r>
        <w:t xml:space="preserve"> of customers, and do not impact the Company’s ability to maintain a sufficient reserve margin. However, </w:t>
      </w:r>
      <w:r w:rsidR="00446E3B">
        <w:t>these units have been called into action over the past several years and have aided the resilience and reliability of the System since the 2016 IRP</w:t>
      </w:r>
      <w:r>
        <w:t xml:space="preserve">, all while under spending limitations. As future coal retirements remain possible, the Company will need to balance the economic benefits of retirement and the ability to take advantage of low-cost gas commodity prices against the potential risk associated with gas fuel supply. Striking the right balance requires consideration of numerous options such as energy storage, inactive reserve, or fuel storage, which may preserve on-site fuel while minimizing spend. These items could prove to be an important resilience consideration with respect to potential future retirement decisions, such as for Plant Bowen Units 1-2.  </w:t>
      </w:r>
    </w:p>
    <w:p w14:paraId="2EC92914" w14:textId="18620653" w:rsidR="005E2E2C" w:rsidRPr="005E2E2C" w:rsidRDefault="005E2E2C" w:rsidP="005E2E2C">
      <w:r>
        <w:t xml:space="preserve">The Company is </w:t>
      </w:r>
      <w:r w:rsidR="000A03A1">
        <w:rPr>
          <w:b/>
        </w:rPr>
        <w:t>not</w:t>
      </w:r>
      <w:r>
        <w:t xml:space="preserve"> requesting specific resilience enhancements in this IRP related to high impact low probability events. However, the growing threat of these risks and the transition of the generating fleet compels the Company to consider these risks and, where appropriate, propose projects for the Commission’s consideration.</w:t>
      </w:r>
    </w:p>
    <w:p w14:paraId="12B411DF" w14:textId="5D77E54C" w:rsidR="0087005E" w:rsidRDefault="0087005E" w:rsidP="00817EA7">
      <w:pPr>
        <w:pStyle w:val="Heading1"/>
      </w:pPr>
      <w:bookmarkStart w:id="242" w:name="_Ref535954016"/>
      <w:bookmarkStart w:id="243" w:name="_Toc536209173"/>
      <w:r>
        <w:t>CONC</w:t>
      </w:r>
      <w:r w:rsidR="000F6E19">
        <w:t>L</w:t>
      </w:r>
      <w:r>
        <w:t>USION &amp; ACTION PLAN</w:t>
      </w:r>
      <w:bookmarkEnd w:id="241"/>
      <w:bookmarkEnd w:id="242"/>
      <w:bookmarkEnd w:id="243"/>
    </w:p>
    <w:p w14:paraId="5C4D2666" w14:textId="40799B38" w:rsidR="00B6730E" w:rsidRDefault="00B6730E" w:rsidP="00B6730E">
      <w:bookmarkStart w:id="244" w:name="_Hlk527040831"/>
      <w:r w:rsidRPr="00355980">
        <w:t xml:space="preserve">The 2019 IRP reflects the Company’s plan to continue </w:t>
      </w:r>
      <w:r>
        <w:t xml:space="preserve">to provide clean, safe, reliable, and affordable energy for customers through the continued focus on reliability and resiliency, further actions to transition the resource portfolio, and proactive steps to position the Company to respond to future developments. This IRP details the Company’s plan to support future reliability by implementing seasonal </w:t>
      </w:r>
      <w:r w:rsidR="008C7AA1">
        <w:t>planning and</w:t>
      </w:r>
      <w:r>
        <w:t xml:space="preserve"> developing strategies to identify new capacity resources while making </w:t>
      </w:r>
      <w:r w:rsidR="0056395F">
        <w:t xml:space="preserve">the appropriate reliability-based investments in the transmission system. </w:t>
      </w:r>
      <w:r>
        <w:t xml:space="preserve">The Company proposes the procurement of renewable resources through market-based </w:t>
      </w:r>
      <w:r w:rsidR="008C7AA1">
        <w:t>solicitations</w:t>
      </w:r>
      <w:r>
        <w:t xml:space="preserve"> leveraging the RCB</w:t>
      </w:r>
      <w:r w:rsidR="00DD7EC0">
        <w:t xml:space="preserve"> Framework</w:t>
      </w:r>
      <w:r>
        <w:t xml:space="preserve"> in resource evaluations, the modification and continuation of demand-side programs, investment in flexible hydro-powered resources, BESS </w:t>
      </w:r>
      <w:r w:rsidR="0081036B">
        <w:t>projects</w:t>
      </w:r>
      <w:r>
        <w:t xml:space="preserve">, and </w:t>
      </w:r>
      <w:r w:rsidR="00954B88">
        <w:t xml:space="preserve">a </w:t>
      </w:r>
      <w:r>
        <w:t xml:space="preserve">cost mitigation </w:t>
      </w:r>
      <w:r w:rsidR="00954B88">
        <w:t xml:space="preserve">plan </w:t>
      </w:r>
      <w:r>
        <w:t>for large coal</w:t>
      </w:r>
      <w:r w:rsidR="00DD7EC0">
        <w:t>-</w:t>
      </w:r>
      <w:r>
        <w:t>fired plants. In addition to the i</w:t>
      </w:r>
      <w:r w:rsidR="008D52E7">
        <w:t xml:space="preserve">tems specifically </w:t>
      </w:r>
      <w:r>
        <w:t>contained in</w:t>
      </w:r>
      <w:r w:rsidR="008D52E7">
        <w:t xml:space="preserve"> the conclusion of </w:t>
      </w:r>
      <w:r w:rsidR="00C5549F">
        <w:fldChar w:fldCharType="begin"/>
      </w:r>
      <w:r w:rsidR="00C5549F">
        <w:instrText xml:space="preserve"> REF _Ref533163091 \r \h </w:instrText>
      </w:r>
      <w:r w:rsidR="00C5549F">
        <w:fldChar w:fldCharType="separate"/>
      </w:r>
      <w:r w:rsidR="00F33DA2">
        <w:t>CHAPTER 1</w:t>
      </w:r>
      <w:r w:rsidR="00C5549F">
        <w:fldChar w:fldCharType="end"/>
      </w:r>
      <w:r>
        <w:t>,</w:t>
      </w:r>
      <w:r w:rsidRPr="00F91D83">
        <w:t xml:space="preserve"> </w:t>
      </w:r>
      <w:r>
        <w:t>pending Commission approval where necessary, the Company plans to take the following actions:</w:t>
      </w:r>
    </w:p>
    <w:p w14:paraId="16C6F4CB" w14:textId="30FEF774" w:rsidR="00B6730E" w:rsidRPr="00F91D83" w:rsidRDefault="00B6730E" w:rsidP="00DD00CB">
      <w:pPr>
        <w:pStyle w:val="ListParagraph"/>
        <w:numPr>
          <w:ilvl w:val="0"/>
          <w:numId w:val="30"/>
        </w:numPr>
      </w:pPr>
      <w:r w:rsidRPr="00F91D83">
        <w:t>Build, operate, and maintain the necessary generation and power delivery infrastructure to</w:t>
      </w:r>
      <w:r w:rsidR="0073695B">
        <w:t xml:space="preserve"> ensure adequate reliability and</w:t>
      </w:r>
      <w:r w:rsidRPr="00F91D83">
        <w:t xml:space="preserve"> serve the needs of Georgia;</w:t>
      </w:r>
    </w:p>
    <w:p w14:paraId="64B42D24" w14:textId="2EC3F9FB" w:rsidR="00954B88" w:rsidRDefault="005E5E49" w:rsidP="00DD00CB">
      <w:pPr>
        <w:pStyle w:val="ListParagraph"/>
        <w:numPr>
          <w:ilvl w:val="0"/>
          <w:numId w:val="30"/>
        </w:numPr>
      </w:pPr>
      <w:r>
        <w:t>I</w:t>
      </w:r>
      <w:r w:rsidR="00B6730E">
        <w:t xml:space="preserve">dentify, examine, and </w:t>
      </w:r>
      <w:r w:rsidR="008D52E7">
        <w:t>initiate</w:t>
      </w:r>
      <w:r w:rsidR="00B6730E">
        <w:t xml:space="preserve"> the activities necessary to ensure timely completion of transmission infrastructure which will </w:t>
      </w:r>
      <w:r w:rsidR="00954B88">
        <w:t>ensure reliability in the f</w:t>
      </w:r>
      <w:r w:rsidR="00DD7EC0">
        <w:t xml:space="preserve">ace of potential </w:t>
      </w:r>
      <w:r w:rsidR="00954B88">
        <w:t>future generation retirements;</w:t>
      </w:r>
    </w:p>
    <w:p w14:paraId="2882229E" w14:textId="03996676" w:rsidR="00B6730E" w:rsidRDefault="00B6730E" w:rsidP="00DD00CB">
      <w:pPr>
        <w:pStyle w:val="ListParagraph"/>
        <w:numPr>
          <w:ilvl w:val="0"/>
          <w:numId w:val="30"/>
        </w:numPr>
      </w:pPr>
      <w:r w:rsidRPr="00BD7591">
        <w:t>Initiate execution of the necessary environmental compliance strategy to comply with government-imposed environmental mandates</w:t>
      </w:r>
      <w:r>
        <w:t>;</w:t>
      </w:r>
    </w:p>
    <w:p w14:paraId="2376DBD8" w14:textId="488C125F" w:rsidR="00B6730E" w:rsidRDefault="00B6730E" w:rsidP="00DD00CB">
      <w:pPr>
        <w:pStyle w:val="ListParagraph"/>
        <w:numPr>
          <w:ilvl w:val="0"/>
          <w:numId w:val="30"/>
        </w:numPr>
      </w:pPr>
      <w:r>
        <w:t>C</w:t>
      </w:r>
      <w:r w:rsidRPr="00BD7591">
        <w:t>ontinue to provide and assess opportunities to integrate cost-effective resources</w:t>
      </w:r>
      <w:r>
        <w:t>;</w:t>
      </w:r>
    </w:p>
    <w:p w14:paraId="4862474A" w14:textId="63317E9F" w:rsidR="00B6730E" w:rsidRDefault="00B6730E" w:rsidP="0075509C">
      <w:pPr>
        <w:pStyle w:val="ListParagraph"/>
        <w:numPr>
          <w:ilvl w:val="0"/>
          <w:numId w:val="30"/>
        </w:numPr>
      </w:pPr>
      <w:r>
        <w:t>U</w:t>
      </w:r>
      <w:r w:rsidRPr="00BD7591">
        <w:t>tilize the methodologies outlined in the RCB</w:t>
      </w:r>
      <w:r w:rsidR="00DD7EC0">
        <w:t xml:space="preserve"> Framework for resource evaluations.</w:t>
      </w:r>
    </w:p>
    <w:bookmarkEnd w:id="244"/>
    <w:p w14:paraId="46D5164C" w14:textId="77777777" w:rsidR="00A63672" w:rsidRDefault="00A63672" w:rsidP="00DE60D0">
      <w:pPr>
        <w:pStyle w:val="1B"/>
        <w:sectPr w:rsidR="00A63672" w:rsidSect="00A63672">
          <w:footerReference w:type="default" r:id="rId17"/>
          <w:type w:val="continuous"/>
          <w:pgSz w:w="12240" w:h="15840"/>
          <w:pgMar w:top="1440" w:right="1440" w:bottom="1440" w:left="1440" w:header="720" w:footer="432" w:gutter="0"/>
          <w:pgNumType w:start="1" w:chapStyle="1"/>
          <w:cols w:space="720"/>
          <w:docGrid w:linePitch="360"/>
        </w:sectPr>
      </w:pPr>
    </w:p>
    <w:p w14:paraId="63A1A006" w14:textId="7C28DDE2" w:rsidR="00D05CEF" w:rsidRDefault="00151CB2" w:rsidP="00DE60D0">
      <w:pPr>
        <w:pStyle w:val="1B"/>
      </w:pPr>
      <w:bookmarkStart w:id="245" w:name="_Ref533152626"/>
      <w:bookmarkStart w:id="246" w:name="_Ref533152673"/>
      <w:bookmarkStart w:id="247" w:name="_Ref533152704"/>
      <w:bookmarkStart w:id="248" w:name="_Ref533152718"/>
      <w:bookmarkStart w:id="249" w:name="_Toc536209174"/>
      <w:r>
        <w:t>MAJOR MODELS USED IN THE IRP</w:t>
      </w:r>
      <w:bookmarkEnd w:id="245"/>
      <w:bookmarkEnd w:id="246"/>
      <w:bookmarkEnd w:id="247"/>
      <w:bookmarkEnd w:id="248"/>
      <w:bookmarkEnd w:id="249"/>
    </w:p>
    <w:p w14:paraId="64B5E412" w14:textId="77777777" w:rsidR="00485BD5" w:rsidRPr="006A483E" w:rsidRDefault="00485BD5" w:rsidP="00DE60D0">
      <w:pPr>
        <w:pStyle w:val="Heading3"/>
      </w:pPr>
      <w:r>
        <w:t>SERVM</w:t>
      </w:r>
    </w:p>
    <w:p w14:paraId="63741664" w14:textId="6EB77723" w:rsidR="00C701BA" w:rsidRPr="002A3037" w:rsidRDefault="00485BD5" w:rsidP="00C701BA">
      <w:r>
        <w:t xml:space="preserve">SERVM </w:t>
      </w:r>
      <w:r w:rsidRPr="002A3037">
        <w:t xml:space="preserve">is an industry-wide accepted generation reliability model used </w:t>
      </w:r>
      <w:r w:rsidR="004839D2" w:rsidRPr="002A3037">
        <w:t xml:space="preserve">for </w:t>
      </w:r>
      <w:r w:rsidRPr="002A3037">
        <w:t>Resource Adequacy analyses.</w:t>
      </w:r>
      <w:r>
        <w:t xml:space="preserve"> </w:t>
      </w:r>
      <w:r w:rsidRPr="002A3037">
        <w:t xml:space="preserve">SERVM is an hourly, chronological model that utilizes Monte Carlo techniques. Random draws from unit historical failure and repair times are used to simulate unplanned outages. The </w:t>
      </w:r>
      <w:bookmarkStart w:id="250" w:name="_Hlk534795793"/>
      <w:r w:rsidR="00C701BA" w:rsidRPr="002A3037">
        <w:t>model executes beginning with 1 A.M. on January 1, committing units</w:t>
      </w:r>
      <w:r w:rsidR="00C701BA">
        <w:t>,</w:t>
      </w:r>
      <w:r w:rsidR="00C701BA" w:rsidRPr="002A3037">
        <w:t xml:space="preserve"> tracking available hydro energy</w:t>
      </w:r>
      <w:r w:rsidR="00C701BA">
        <w:t>,</w:t>
      </w:r>
      <w:r w:rsidR="00C701BA" w:rsidRPr="002A3037">
        <w:t xml:space="preserve"> operating pumped storage units</w:t>
      </w:r>
      <w:r w:rsidR="00C701BA">
        <w:t>,</w:t>
      </w:r>
      <w:r w:rsidR="00C701BA" w:rsidRPr="002A3037">
        <w:t xml:space="preserve"> considering weather-appropriate renewable output</w:t>
      </w:r>
      <w:r w:rsidR="00C701BA">
        <w:t>,</w:t>
      </w:r>
      <w:r w:rsidR="00C701BA" w:rsidRPr="002A3037">
        <w:t xml:space="preserve"> making economic and reliability purchases from other entities in the region</w:t>
      </w:r>
      <w:r w:rsidR="00C701BA">
        <w:t>,</w:t>
      </w:r>
      <w:r w:rsidR="00C701BA" w:rsidRPr="002A3037">
        <w:t xml:space="preserve"> calling interruptible load as needed</w:t>
      </w:r>
      <w:r w:rsidR="00C701BA">
        <w:t>,</w:t>
      </w:r>
      <w:r w:rsidR="00C701BA" w:rsidRPr="002A3037">
        <w:t xml:space="preserve"> and, if necessary, curtailing firm load.</w:t>
      </w:r>
      <w:bookmarkEnd w:id="250"/>
    </w:p>
    <w:p w14:paraId="3C199C72" w14:textId="3B130358" w:rsidR="00485BD5" w:rsidRPr="002A3037" w:rsidRDefault="00485BD5" w:rsidP="006549EE">
      <w:r w:rsidRPr="002A3037">
        <w:t xml:space="preserve">Evaluations are typically performed for multiple weather-years, multiple peak load forecast error assumptions, and multiple different start days for the year, resulting in hundreds of cases evaluated per simulation. Each case itself is processed multiple times using random unit outage draws with each iteration and the results of these iterations averaged together to get a case-specific result. Finally, each case has its own probabilistic weighting and is then averaged together with all cases to obtain a weighted-average, expected result for the whole simulation. The Reserve Margin Study contains the details regarding </w:t>
      </w:r>
      <w:r w:rsidR="004839D2">
        <w:t>the number of</w:t>
      </w:r>
      <w:r w:rsidRPr="002A3037">
        <w:t xml:space="preserve"> simulations run to generate the </w:t>
      </w:r>
      <w:r w:rsidR="004839D2">
        <w:t>Target R</w:t>
      </w:r>
      <w:r w:rsidRPr="002A3037">
        <w:t xml:space="preserve">eserve </w:t>
      </w:r>
      <w:r w:rsidR="004839D2">
        <w:t>M</w:t>
      </w:r>
      <w:r w:rsidRPr="002A3037">
        <w:t>argin recommendations.</w:t>
      </w:r>
    </w:p>
    <w:p w14:paraId="3D939F3A" w14:textId="77777777" w:rsidR="00485BD5" w:rsidRPr="002A3037" w:rsidRDefault="00485BD5" w:rsidP="006549EE">
      <w:r w:rsidRPr="002A3037">
        <w:t>Useful information provided by SERVM includes (but is not limited to):</w:t>
      </w:r>
    </w:p>
    <w:p w14:paraId="6350376E" w14:textId="77777777" w:rsidR="00485BD5" w:rsidRPr="002A3037" w:rsidRDefault="00485BD5" w:rsidP="00DD00CB">
      <w:pPr>
        <w:pStyle w:val="NoSpacing"/>
        <w:numPr>
          <w:ilvl w:val="0"/>
          <w:numId w:val="6"/>
        </w:numPr>
      </w:pPr>
      <w:r w:rsidRPr="002A3037">
        <w:t xml:space="preserve">Expected unserved energy – the amount of energy that cannot be served due to generating capacity shortages; </w:t>
      </w:r>
    </w:p>
    <w:p w14:paraId="176B5C1E" w14:textId="77777777" w:rsidR="00485BD5" w:rsidRPr="002A3037" w:rsidRDefault="00485BD5" w:rsidP="00DD00CB">
      <w:pPr>
        <w:pStyle w:val="NoSpacing"/>
        <w:numPr>
          <w:ilvl w:val="0"/>
          <w:numId w:val="6"/>
        </w:numPr>
      </w:pPr>
      <w:r w:rsidRPr="002A3037">
        <w:t>Loss of load expectation – the number of days per year in which firm load is not served;</w:t>
      </w:r>
    </w:p>
    <w:p w14:paraId="0CB9A69F" w14:textId="4CBEE96C" w:rsidR="00485BD5" w:rsidRPr="002A3037" w:rsidRDefault="00485BD5" w:rsidP="00DD00CB">
      <w:pPr>
        <w:pStyle w:val="NoSpacing"/>
        <w:numPr>
          <w:ilvl w:val="0"/>
          <w:numId w:val="6"/>
        </w:numPr>
      </w:pPr>
      <w:r w:rsidRPr="002A3037">
        <w:t>Interruptible load – the number of times that interruptible load is called</w:t>
      </w:r>
      <w:r w:rsidR="001543D1">
        <w:t xml:space="preserve"> upon</w:t>
      </w:r>
      <w:r w:rsidRPr="002A3037">
        <w:t>; and</w:t>
      </w:r>
    </w:p>
    <w:p w14:paraId="4939CC52" w14:textId="77777777" w:rsidR="00485BD5" w:rsidRPr="002A3037" w:rsidRDefault="00485BD5" w:rsidP="00DD00CB">
      <w:pPr>
        <w:pStyle w:val="NoSpacing"/>
        <w:numPr>
          <w:ilvl w:val="0"/>
          <w:numId w:val="6"/>
        </w:numPr>
      </w:pPr>
      <w:r w:rsidRPr="002A3037">
        <w:t>Production costs – the generation and purchase costs associated with serving load requirements throughout the year.</w:t>
      </w:r>
    </w:p>
    <w:p w14:paraId="49604639" w14:textId="049145A4" w:rsidR="00485BD5" w:rsidRDefault="00485BD5" w:rsidP="006549EE">
      <w:r w:rsidRPr="002A3037">
        <w:t>SERVM is a major planning tool supporting numerous studies. It is used in: (1) developing the Target Reserve Margin</w:t>
      </w:r>
      <w:r w:rsidR="001543D1">
        <w:t>;</w:t>
      </w:r>
      <w:r w:rsidRPr="002A3037" w:rsidDel="00980E7F">
        <w:t xml:space="preserve"> </w:t>
      </w:r>
      <w:r w:rsidRPr="002A3037">
        <w:t xml:space="preserve">(2) developing Capacity Worth Factor Tables used for renewable resource valuations, PRICEM, and other capacity value calculations; (3) </w:t>
      </w:r>
      <w:r w:rsidR="002B10B9">
        <w:t xml:space="preserve">performing </w:t>
      </w:r>
      <w:r w:rsidRPr="002A3037">
        <w:t>operational reliability studies</w:t>
      </w:r>
      <w:r w:rsidR="00EA6B68">
        <w:t>;</w:t>
      </w:r>
      <w:r w:rsidRPr="002A3037">
        <w:t xml:space="preserve"> and (4) developing incremental capacity equivalent (ICE) factors for demand-si</w:t>
      </w:r>
      <w:r>
        <w:t>de and supply-side resources.</w:t>
      </w:r>
    </w:p>
    <w:p w14:paraId="1D1A427A" w14:textId="77777777" w:rsidR="005736DD" w:rsidRPr="00485BD5" w:rsidRDefault="005736DD" w:rsidP="005736DD">
      <w:pPr>
        <w:pStyle w:val="Heading3"/>
      </w:pPr>
      <w:r w:rsidRPr="00485BD5">
        <w:t>Econometric Forecasting Models</w:t>
      </w:r>
    </w:p>
    <w:p w14:paraId="1375042F" w14:textId="77777777" w:rsidR="005736DD" w:rsidRDefault="005736DD" w:rsidP="005736DD">
      <w:r>
        <w:t>Georgia Power’s short-term forecasts are produced using econometric forecasting models, which estimate the relationships between economic and demographic variables and energy use. These models use ordinary least squares regression techniques.</w:t>
      </w:r>
    </w:p>
    <w:p w14:paraId="14F17B74" w14:textId="65DAD00D" w:rsidR="00485BD5" w:rsidRPr="00485BD5" w:rsidRDefault="00485BD5" w:rsidP="00DE60D0">
      <w:pPr>
        <w:pStyle w:val="Heading3"/>
      </w:pPr>
      <w:r w:rsidRPr="00485BD5">
        <w:t>Load Manage</w:t>
      </w:r>
      <w:r>
        <w:t xml:space="preserve">ment and Planning: </w:t>
      </w:r>
      <w:r w:rsidRPr="00485BD5">
        <w:t>Residential</w:t>
      </w:r>
    </w:p>
    <w:p w14:paraId="0F19BDF3" w14:textId="166C67CE" w:rsidR="00485BD5" w:rsidRDefault="00485BD5" w:rsidP="006549EE">
      <w:r>
        <w:t>The Residential LoadMAP model is an end-use model that is used to develop a long-term energy forecast of the residential sector. This model was developed in 2007 by Applied Energy Group (formerly EnerNOC).</w:t>
      </w:r>
    </w:p>
    <w:p w14:paraId="6998DE94" w14:textId="57D6FE96" w:rsidR="00485BD5" w:rsidRPr="00485BD5" w:rsidRDefault="00485BD5" w:rsidP="00DE60D0">
      <w:pPr>
        <w:pStyle w:val="Heading3"/>
      </w:pPr>
      <w:r w:rsidRPr="00485BD5">
        <w:t>Load Management and Planning: Commercial</w:t>
      </w:r>
    </w:p>
    <w:p w14:paraId="13FBA0A5" w14:textId="6DF19589" w:rsidR="00485BD5" w:rsidRDefault="00485BD5" w:rsidP="006549EE">
      <w:r>
        <w:t>The Commercial LoadMAP model is an end-use model that is used to develop a long-term energy forecast of the commercial sector. This model was developed in 2007 by Applied Energy Group (formerly EnerNOC).</w:t>
      </w:r>
    </w:p>
    <w:p w14:paraId="374E85DA" w14:textId="680288D3" w:rsidR="00485BD5" w:rsidRPr="00485BD5" w:rsidRDefault="00485BD5" w:rsidP="00DE60D0">
      <w:pPr>
        <w:pStyle w:val="Heading3"/>
      </w:pPr>
      <w:r w:rsidRPr="00485BD5">
        <w:t>Load Management and Planning: Industrial</w:t>
      </w:r>
    </w:p>
    <w:p w14:paraId="58F6CDED" w14:textId="444801C2" w:rsidR="00485BD5" w:rsidRDefault="00485BD5" w:rsidP="006549EE">
      <w:r>
        <w:t>The Industrial LoadMAP model is an end-use model that is used to develop a long-term energy forecast of the industrial sector. This model was developed in 2007 by Applied Energy Group (formerly EnerNOC).</w:t>
      </w:r>
    </w:p>
    <w:p w14:paraId="12CCF819" w14:textId="30EF5D81" w:rsidR="00485BD5" w:rsidRPr="00485BD5" w:rsidRDefault="00485BD5" w:rsidP="00DE60D0">
      <w:pPr>
        <w:pStyle w:val="Heading3"/>
      </w:pPr>
      <w:r w:rsidRPr="00485BD5">
        <w:t>Hourly Peak Demand Model</w:t>
      </w:r>
      <w:r w:rsidR="00FA64AC">
        <w:t xml:space="preserve"> (PDM)</w:t>
      </w:r>
    </w:p>
    <w:p w14:paraId="00505324" w14:textId="328BC34E" w:rsidR="00485BD5" w:rsidRDefault="00485BD5" w:rsidP="006549EE">
      <w:r>
        <w:t xml:space="preserve">The </w:t>
      </w:r>
      <w:r w:rsidR="00FA64AC">
        <w:t xml:space="preserve">PDM </w:t>
      </w:r>
      <w:r>
        <w:t>is an hourly demand model that produces projections of peak demand using forecasted class energy, historical class load shapes and corresponding weather, and a description of typical (normal) weather. The PDM was developed by Corios.</w:t>
      </w:r>
    </w:p>
    <w:p w14:paraId="3510C623" w14:textId="77777777" w:rsidR="00485BD5" w:rsidRPr="00485BD5" w:rsidRDefault="00485BD5" w:rsidP="00DE60D0">
      <w:pPr>
        <w:pStyle w:val="Heading3"/>
      </w:pPr>
      <w:r w:rsidRPr="00485BD5">
        <w:t>EnerSim</w:t>
      </w:r>
    </w:p>
    <w:p w14:paraId="43F0E3FA" w14:textId="76EE7523" w:rsidR="00485BD5" w:rsidRDefault="00485BD5" w:rsidP="006549EE">
      <w:r>
        <w:t>EnerSim is a building energy simulation model, used to predict hourly energy consumption in buildings based on construction characteristics, insulation, occupancy, orientation, local weather, and other attributes.</w:t>
      </w:r>
    </w:p>
    <w:p w14:paraId="24DFA696" w14:textId="4E7D9CB0" w:rsidR="00485BD5" w:rsidRPr="007417BB" w:rsidRDefault="00485BD5" w:rsidP="00DE60D0">
      <w:pPr>
        <w:pStyle w:val="Heading3"/>
      </w:pPr>
      <w:r w:rsidRPr="007417BB">
        <w:t>PRICEM</w:t>
      </w:r>
    </w:p>
    <w:p w14:paraId="3306990B" w14:textId="5A05C60C" w:rsidR="00485BD5" w:rsidRPr="00EC5E39" w:rsidRDefault="00485BD5" w:rsidP="006549EE">
      <w:r w:rsidRPr="00EC5E39">
        <w:t xml:space="preserve">PRICEM is a spreadsheet-based marginal cost model designed </w:t>
      </w:r>
      <w:r w:rsidR="00CF7E18">
        <w:t>by S</w:t>
      </w:r>
      <w:r w:rsidR="00030081">
        <w:t>CS</w:t>
      </w:r>
      <w:r w:rsidR="00CF7E18">
        <w:t xml:space="preserve"> </w:t>
      </w:r>
      <w:r w:rsidRPr="00EC5E39">
        <w:t>to predict</w:t>
      </w:r>
      <w:r w:rsidR="002B10B9">
        <w:t xml:space="preserve"> the</w:t>
      </w:r>
      <w:r w:rsidRPr="00EC5E39">
        <w:t xml:space="preserve"> change in revenue requirements and other effects attributable to changes in loads and/or revenues. PRICEM takes data from other major models</w:t>
      </w:r>
      <w:r w:rsidR="004839D2">
        <w:t xml:space="preserve"> and</w:t>
      </w:r>
      <w:r w:rsidRPr="00EC5E39">
        <w:t xml:space="preserve"> </w:t>
      </w:r>
      <w:r w:rsidR="004839D2" w:rsidRPr="00EC5E39">
        <w:t>combin</w:t>
      </w:r>
      <w:r w:rsidR="004839D2">
        <w:t>es</w:t>
      </w:r>
      <w:r w:rsidR="004839D2" w:rsidRPr="00EC5E39">
        <w:t xml:space="preserve"> </w:t>
      </w:r>
      <w:r w:rsidRPr="00EC5E39">
        <w:t xml:space="preserve">them in a single spreadsheet to provide for quick, yet relatively detailed, evaluations of options. Data inputs are consistent with inputs to </w:t>
      </w:r>
      <w:r w:rsidR="00CE4A76" w:rsidRPr="00EC5E39">
        <w:t xml:space="preserve">Strategist and </w:t>
      </w:r>
      <w:r w:rsidRPr="00EC5E39">
        <w:t>as such are taken from: (1) revenue requirements streams from</w:t>
      </w:r>
      <w:r w:rsidR="004839D2">
        <w:t xml:space="preserve"> Standard Analysis Model (“</w:t>
      </w:r>
      <w:r w:rsidRPr="00EC5E39">
        <w:t>SAM</w:t>
      </w:r>
      <w:r w:rsidR="004839D2">
        <w:t>”)</w:t>
      </w:r>
      <w:r w:rsidRPr="00EC5E39">
        <w:t xml:space="preserve">; (2) marginal energy cost from </w:t>
      </w:r>
      <w:r w:rsidR="008D4164">
        <w:t>AURORA</w:t>
      </w:r>
      <w:r w:rsidRPr="00EC5E39">
        <w:t xml:space="preserve">; (3) ICE factors from SERVM; and (4) </w:t>
      </w:r>
      <w:r w:rsidR="00AA7E07">
        <w:t>GTDB</w:t>
      </w:r>
      <w:r w:rsidR="002B10B9">
        <w:t xml:space="preserve"> cost</w:t>
      </w:r>
      <w:r w:rsidR="00AA7E07">
        <w:t xml:space="preserve"> </w:t>
      </w:r>
      <w:r w:rsidRPr="00EC5E39">
        <w:t>assumptions.</w:t>
      </w:r>
    </w:p>
    <w:p w14:paraId="1F29F897" w14:textId="77777777" w:rsidR="00485BD5" w:rsidRPr="00EC5E39" w:rsidRDefault="00485BD5" w:rsidP="006549EE">
      <w:r w:rsidRPr="00EC5E39">
        <w:t>PRICEM models the year with 864 load points and uses the peaker method, a technique allowing the total of generating capacity cost and energy cost to be estimated with peaking capacity and marginal energy cost. The peaker method allows for quick screening of many alternatives. Useful information that can be gathered from PRICEM includes:</w:t>
      </w:r>
    </w:p>
    <w:p w14:paraId="2832782C" w14:textId="0D534444" w:rsidR="00485BD5" w:rsidRPr="00EC5E39" w:rsidRDefault="00485BD5" w:rsidP="00DD00CB">
      <w:pPr>
        <w:pStyle w:val="NoSpacing"/>
        <w:numPr>
          <w:ilvl w:val="0"/>
          <w:numId w:val="7"/>
        </w:numPr>
      </w:pPr>
      <w:r w:rsidRPr="00EC5E39">
        <w:t>RIM – A net present value calculation of the total benefits and total costs over the life of</w:t>
      </w:r>
      <w:r w:rsidR="002E7FFD">
        <w:t xml:space="preserve"> </w:t>
      </w:r>
      <w:r w:rsidR="00EA6B68" w:rsidRPr="00EC5E39">
        <w:t>the program</w:t>
      </w:r>
      <w:r w:rsidRPr="00EC5E39">
        <w:t xml:space="preserve">; and </w:t>
      </w:r>
    </w:p>
    <w:p w14:paraId="3338F61E" w14:textId="77777777" w:rsidR="00485BD5" w:rsidRPr="00EC5E39" w:rsidRDefault="00485BD5" w:rsidP="00DD00CB">
      <w:pPr>
        <w:pStyle w:val="NoSpacing"/>
        <w:numPr>
          <w:ilvl w:val="0"/>
          <w:numId w:val="7"/>
        </w:numPr>
      </w:pPr>
      <w:r w:rsidRPr="00EC5E39">
        <w:t>Predictions of the amount of generating capacity needed to maintain System reliability after a change in interruptible or firm loads.</w:t>
      </w:r>
    </w:p>
    <w:p w14:paraId="139D0E1F" w14:textId="1C0B4F02" w:rsidR="008E026F" w:rsidRPr="001666F7" w:rsidRDefault="001666F7" w:rsidP="00DE60D0">
      <w:pPr>
        <w:pStyle w:val="Heading3"/>
      </w:pPr>
      <w:r>
        <w:t>Strategist</w:t>
      </w:r>
      <w:r w:rsidR="001543D1">
        <w:t xml:space="preserve"> and PROVIEW</w:t>
      </w:r>
    </w:p>
    <w:p w14:paraId="533CAB84" w14:textId="77777777" w:rsidR="008E026F" w:rsidRPr="00EF27BC" w:rsidRDefault="008E026F" w:rsidP="006549EE">
      <w:r w:rsidRPr="00EF27BC">
        <w:t>PROVIEW is a generation planning optimization module of the Strategist production cost model. It uses dynamic programming techniques to calculate the total capital and operating costs for hundreds of combinations of generating units. It calculates the minimum cost combination of units.</w:t>
      </w:r>
    </w:p>
    <w:p w14:paraId="086276B2" w14:textId="54F8381C" w:rsidR="008E026F" w:rsidRPr="00EF27BC" w:rsidRDefault="008E026F" w:rsidP="006549EE">
      <w:r w:rsidRPr="00EF27BC">
        <w:t>The useful information that can be gathered from Strategist includes:</w:t>
      </w:r>
    </w:p>
    <w:p w14:paraId="44704D93" w14:textId="77777777" w:rsidR="008E026F" w:rsidRPr="00EF27BC" w:rsidRDefault="008E026F" w:rsidP="00DD00CB">
      <w:pPr>
        <w:pStyle w:val="NoSpacing"/>
        <w:numPr>
          <w:ilvl w:val="0"/>
          <w:numId w:val="8"/>
        </w:numPr>
      </w:pPr>
      <w:r w:rsidRPr="00EF27BC">
        <w:t>Least cost combination of generating unit additions by year;</w:t>
      </w:r>
    </w:p>
    <w:p w14:paraId="235CE21C" w14:textId="77777777" w:rsidR="008E026F" w:rsidRPr="00EF27BC" w:rsidRDefault="008E026F" w:rsidP="00DD00CB">
      <w:pPr>
        <w:pStyle w:val="NoSpacing"/>
        <w:numPr>
          <w:ilvl w:val="0"/>
          <w:numId w:val="8"/>
        </w:numPr>
      </w:pPr>
      <w:r w:rsidRPr="00EF27BC">
        <w:t>Additional cost of generation expansion plans that are not the least-cost plan; and</w:t>
      </w:r>
    </w:p>
    <w:p w14:paraId="6BFF1C12" w14:textId="6C78D3AF" w:rsidR="008E026F" w:rsidRPr="00EF27BC" w:rsidRDefault="008E026F" w:rsidP="00DD00CB">
      <w:pPr>
        <w:pStyle w:val="NoSpacing"/>
        <w:numPr>
          <w:ilvl w:val="0"/>
          <w:numId w:val="8"/>
        </w:numPr>
      </w:pPr>
      <w:r w:rsidRPr="00EF27BC">
        <w:t>Estimates of fuel use by fuel type.</w:t>
      </w:r>
    </w:p>
    <w:p w14:paraId="34E4D41A" w14:textId="489139F2" w:rsidR="008E026F" w:rsidRPr="00EF27BC" w:rsidRDefault="008E026F" w:rsidP="006549EE">
      <w:r w:rsidRPr="00EF27BC">
        <w:t xml:space="preserve">Strategist is the basis of the benchmark plan. Sensitivity analyses performed through Strategist provide information for developing a combination of generating units that will provide a good combination of flexibility, risk reduction, and other considerations. Strategist is used to integrate the supply-side options and the demand-side programs to produce the IRP. Strategist </w:t>
      </w:r>
      <w:r>
        <w:t>is</w:t>
      </w:r>
      <w:r w:rsidRPr="00EF27BC">
        <w:t xml:space="preserve"> also used to evaluate bids received in the competitive bidding process.</w:t>
      </w:r>
    </w:p>
    <w:p w14:paraId="0DDC802F" w14:textId="77777777" w:rsidR="00935C0C" w:rsidRPr="00935C0C" w:rsidRDefault="00935C0C" w:rsidP="00DE60D0">
      <w:pPr>
        <w:pStyle w:val="Heading3"/>
      </w:pPr>
      <w:r w:rsidRPr="00935C0C">
        <w:t>AURORA</w:t>
      </w:r>
    </w:p>
    <w:p w14:paraId="0AA709F8" w14:textId="78E2C8C7" w:rsidR="00935C0C" w:rsidRDefault="00935C0C" w:rsidP="006549EE">
      <w:r>
        <w:t>AURORA is used to estimate marginal energy costs for use in various models and analyses.</w:t>
      </w:r>
      <w:r w:rsidR="00C36C94">
        <w:t xml:space="preserve"> </w:t>
      </w:r>
      <w:r>
        <w:t>AURORA is an hourly model that utilizes Monte-Carlo techniques to randomly simulate unit forced outages.</w:t>
      </w:r>
    </w:p>
    <w:p w14:paraId="45362903" w14:textId="77777777" w:rsidR="00935C0C" w:rsidRDefault="00935C0C" w:rsidP="006549EE">
      <w:r>
        <w:t>The useful information that can be gathered from AURORA includes:</w:t>
      </w:r>
    </w:p>
    <w:p w14:paraId="49D04197" w14:textId="1F9DBE6D" w:rsidR="00935C0C" w:rsidRDefault="00935C0C" w:rsidP="00DD00CB">
      <w:pPr>
        <w:pStyle w:val="NoSpacing"/>
        <w:numPr>
          <w:ilvl w:val="0"/>
          <w:numId w:val="9"/>
        </w:numPr>
      </w:pPr>
      <w:r>
        <w:t>Projections of marginal energy cost by hour for 30 years into the future;</w:t>
      </w:r>
    </w:p>
    <w:p w14:paraId="55710E1A" w14:textId="5B77D145" w:rsidR="00935C0C" w:rsidRDefault="00935C0C" w:rsidP="00DD00CB">
      <w:pPr>
        <w:pStyle w:val="NoSpacing"/>
        <w:numPr>
          <w:ilvl w:val="0"/>
          <w:numId w:val="9"/>
        </w:numPr>
      </w:pPr>
      <w:r>
        <w:t xml:space="preserve">Projections of the </w:t>
      </w:r>
      <w:r w:rsidR="00EA6B68">
        <w:t>SO</w:t>
      </w:r>
      <w:r w:rsidR="00EA6B68" w:rsidRPr="00EA7B10">
        <w:rPr>
          <w:vertAlign w:val="subscript"/>
        </w:rPr>
        <w:t>2</w:t>
      </w:r>
      <w:r w:rsidR="002E7FFD">
        <w:t xml:space="preserve"> and NO</w:t>
      </w:r>
      <w:r w:rsidR="00134394">
        <w:rPr>
          <w:vertAlign w:val="subscript"/>
        </w:rPr>
        <w:t>X</w:t>
      </w:r>
      <w:r w:rsidR="002E7FFD">
        <w:t xml:space="preserve"> </w:t>
      </w:r>
      <w:r>
        <w:t>marginal cost</w:t>
      </w:r>
      <w:r w:rsidR="002E7FFD">
        <w:t>s</w:t>
      </w:r>
      <w:r>
        <w:t xml:space="preserve"> of serving an additional block of load; and</w:t>
      </w:r>
    </w:p>
    <w:p w14:paraId="6D36E9E3" w14:textId="1C4D1BB5" w:rsidR="00935C0C" w:rsidRDefault="00935C0C" w:rsidP="00DD00CB">
      <w:pPr>
        <w:pStyle w:val="NoSpacing"/>
        <w:numPr>
          <w:ilvl w:val="0"/>
          <w:numId w:val="9"/>
        </w:numPr>
      </w:pPr>
      <w:r>
        <w:t>The cost effects of changing the characteristics of individual units, such as changing heat rates, station service requirements, or similar factors.</w:t>
      </w:r>
    </w:p>
    <w:p w14:paraId="2F031929" w14:textId="5DA505BA" w:rsidR="00935C0C" w:rsidRDefault="00935C0C" w:rsidP="006549EE">
      <w:r>
        <w:t>AURORA supplies important data to many studies.</w:t>
      </w:r>
      <w:r w:rsidR="00C36C94">
        <w:t xml:space="preserve"> </w:t>
      </w:r>
      <w:r>
        <w:t xml:space="preserve">It is used </w:t>
      </w:r>
      <w:r w:rsidR="00CE4A76">
        <w:t xml:space="preserve">or has been used in: (1) </w:t>
      </w:r>
      <w:r w:rsidR="005736DD">
        <w:t xml:space="preserve">developing the Company’s annual </w:t>
      </w:r>
      <w:r w:rsidR="0056395F">
        <w:t xml:space="preserve">energy budget; </w:t>
      </w:r>
      <w:r w:rsidR="005736DD">
        <w:t xml:space="preserve">(2) </w:t>
      </w:r>
      <w:r>
        <w:t>determining the worth of improving existing units; (</w:t>
      </w:r>
      <w:r w:rsidR="005736DD">
        <w:t>3</w:t>
      </w:r>
      <w:r>
        <w:t>) developing the marginal energy cost for use in PRICEM</w:t>
      </w:r>
      <w:r w:rsidR="00BE120E">
        <w:t xml:space="preserve">, </w:t>
      </w:r>
      <w:r w:rsidR="00EA6B68">
        <w:t>GenVal</w:t>
      </w:r>
      <w:r w:rsidR="00BE120E">
        <w:t>, RCB</w:t>
      </w:r>
      <w:r w:rsidR="003E1F57">
        <w:t xml:space="preserve"> Framework applications</w:t>
      </w:r>
      <w:r w:rsidR="00BE120E">
        <w:t>,</w:t>
      </w:r>
      <w:r>
        <w:t xml:space="preserve"> and elsewhere; </w:t>
      </w:r>
      <w:r w:rsidR="005736DD">
        <w:t>and</w:t>
      </w:r>
      <w:r>
        <w:t xml:space="preserve"> (</w:t>
      </w:r>
      <w:r w:rsidR="005736DD">
        <w:t>4</w:t>
      </w:r>
      <w:r>
        <w:t xml:space="preserve">) developing the </w:t>
      </w:r>
      <w:r w:rsidR="00EA6B68">
        <w:t>SO</w:t>
      </w:r>
      <w:r w:rsidR="00EA6B68" w:rsidRPr="00EA7B10">
        <w:rPr>
          <w:vertAlign w:val="subscript"/>
        </w:rPr>
        <w:t>2</w:t>
      </w:r>
      <w:r w:rsidR="002E7FFD">
        <w:t xml:space="preserve"> and NO</w:t>
      </w:r>
      <w:r w:rsidR="00134394">
        <w:rPr>
          <w:vertAlign w:val="subscript"/>
        </w:rPr>
        <w:t>X</w:t>
      </w:r>
      <w:r>
        <w:t xml:space="preserve"> marginal cost</w:t>
      </w:r>
      <w:r w:rsidR="002E7FFD">
        <w:t>s</w:t>
      </w:r>
      <w:r>
        <w:t xml:space="preserve"> for use in PRICEM.</w:t>
      </w:r>
    </w:p>
    <w:p w14:paraId="7FC507C0" w14:textId="50DEE4CE" w:rsidR="003A00CD" w:rsidRPr="003A2947" w:rsidRDefault="00485BD5" w:rsidP="00DE60D0">
      <w:pPr>
        <w:pStyle w:val="Heading3"/>
      </w:pPr>
      <w:bookmarkStart w:id="251" w:name="_Hlk517172814"/>
      <w:r w:rsidRPr="003A2947">
        <w:t>SAM (Standard Analysis Model</w:t>
      </w:r>
      <w:r w:rsidR="003A00CD" w:rsidRPr="003A2947">
        <w:t>)</w:t>
      </w:r>
    </w:p>
    <w:p w14:paraId="282F7E16" w14:textId="6CB39259" w:rsidR="00485BD5" w:rsidRDefault="00485BD5" w:rsidP="006549EE">
      <w:r>
        <w:t>SAM is a financial program used to convert capital expenditures into annual revenue requirements.</w:t>
      </w:r>
      <w:r w:rsidR="00C36C94">
        <w:t xml:space="preserve"> </w:t>
      </w:r>
      <w:r>
        <w:t>It incorporates projections of the costs of capital, tax rates, and depreciation rates.</w:t>
      </w:r>
    </w:p>
    <w:p w14:paraId="4104E098" w14:textId="77777777" w:rsidR="00485BD5" w:rsidRDefault="00485BD5" w:rsidP="006549EE">
      <w:r>
        <w:t>The useful information that can be gathered from SAM includes:</w:t>
      </w:r>
    </w:p>
    <w:p w14:paraId="7328EF72" w14:textId="77777777" w:rsidR="00485BD5" w:rsidRDefault="00485BD5" w:rsidP="00DD00CB">
      <w:pPr>
        <w:pStyle w:val="NoSpacing"/>
        <w:numPr>
          <w:ilvl w:val="0"/>
          <w:numId w:val="10"/>
        </w:numPr>
      </w:pPr>
      <w:r>
        <w:t>Annual revenue requirements necessary to earn a return on and return of the investment;</w:t>
      </w:r>
    </w:p>
    <w:p w14:paraId="0476EC84" w14:textId="77777777" w:rsidR="00485BD5" w:rsidRDefault="00485BD5" w:rsidP="00DD00CB">
      <w:pPr>
        <w:pStyle w:val="NoSpacing"/>
        <w:numPr>
          <w:ilvl w:val="0"/>
          <w:numId w:val="10"/>
        </w:numPr>
      </w:pPr>
      <w:r>
        <w:t>Net present value of revenue requirements;</w:t>
      </w:r>
    </w:p>
    <w:p w14:paraId="615C406B" w14:textId="77777777" w:rsidR="00485BD5" w:rsidRDefault="00485BD5" w:rsidP="00DD00CB">
      <w:pPr>
        <w:pStyle w:val="NoSpacing"/>
        <w:numPr>
          <w:ilvl w:val="0"/>
          <w:numId w:val="10"/>
        </w:numPr>
      </w:pPr>
      <w:r>
        <w:t>Levelized fixed charge rates; and</w:t>
      </w:r>
    </w:p>
    <w:p w14:paraId="2B20391E" w14:textId="77777777" w:rsidR="00485BD5" w:rsidRDefault="00485BD5" w:rsidP="00DD00CB">
      <w:pPr>
        <w:pStyle w:val="NoSpacing"/>
        <w:numPr>
          <w:ilvl w:val="0"/>
          <w:numId w:val="10"/>
        </w:numPr>
      </w:pPr>
      <w:r>
        <w:t>Economic carrying costs.</w:t>
      </w:r>
    </w:p>
    <w:p w14:paraId="466D22BC" w14:textId="3981A634" w:rsidR="00CE4A76" w:rsidRDefault="00485BD5" w:rsidP="006549EE">
      <w:r>
        <w:t>SAM provides key calculations for numerous studies.</w:t>
      </w:r>
      <w:r w:rsidR="00C36C94">
        <w:t xml:space="preserve"> </w:t>
      </w:r>
      <w:r>
        <w:t>It is used or has been used in: (1) calculating revenue requirements streams and economic carrying cost rates for PRICEM</w:t>
      </w:r>
      <w:r w:rsidR="001543D1">
        <w:t>;</w:t>
      </w:r>
      <w:r>
        <w:t xml:space="preserve"> and (2) calculating the economic carrying cost rates and net present value of revenue requirements for many studies, including for use in Strategist.</w:t>
      </w:r>
      <w:bookmarkEnd w:id="251"/>
    </w:p>
    <w:p w14:paraId="63DA5199" w14:textId="77777777" w:rsidR="00CE4A76" w:rsidRDefault="00CE4A76" w:rsidP="00DE60D0">
      <w:pPr>
        <w:pStyle w:val="Heading3"/>
        <w:rPr>
          <w:rFonts w:ascii="Times New Roman" w:hAnsi="Times New Roman"/>
          <w:color w:val="auto"/>
        </w:rPr>
      </w:pPr>
      <w:r>
        <w:t>GenVal</w:t>
      </w:r>
    </w:p>
    <w:p w14:paraId="4979497A" w14:textId="77777777" w:rsidR="00CE4A76" w:rsidRDefault="00CE4A76" w:rsidP="00CE4A76">
      <w:pPr>
        <w:keepNext/>
        <w:tabs>
          <w:tab w:val="left" w:pos="2700"/>
        </w:tabs>
        <w:spacing w:after="0" w:line="240" w:lineRule="auto"/>
        <w:rPr>
          <w:b/>
          <w:u w:val="single"/>
        </w:rPr>
      </w:pPr>
    </w:p>
    <w:p w14:paraId="4D04A091" w14:textId="6C26F34C" w:rsidR="00CE4A76" w:rsidRDefault="00CE4A76" w:rsidP="00CE4A76">
      <w:pPr>
        <w:keepNext/>
      </w:pPr>
      <w:bookmarkStart w:id="252" w:name="_Hlk531959668"/>
      <w:r>
        <w:t>GenVal is a model that is used to project the economic dispatch of a generating unit within the Southern Company fleet of resources</w:t>
      </w:r>
      <w:r w:rsidR="00680AEE">
        <w:t xml:space="preserve">. </w:t>
      </w:r>
      <w:r>
        <w:t xml:space="preserve">It utilizes hourly marginal costs from </w:t>
      </w:r>
      <w:r w:rsidR="006F2C00">
        <w:t>AURORA</w:t>
      </w:r>
      <w:r>
        <w:t>, as well as the operating characteristics of the generating unit to be analyzed</w:t>
      </w:r>
      <w:r w:rsidR="00680AEE">
        <w:t xml:space="preserve">. </w:t>
      </w:r>
      <w:r>
        <w:t xml:space="preserve">The useful information that can be gathered from GenVal includes the </w:t>
      </w:r>
      <w:r w:rsidR="00643CE8">
        <w:t>S</w:t>
      </w:r>
      <w:r>
        <w:t>ystem production cost impacts due to the inclusion of the generating unit within the Southern Company generation fleet.</w:t>
      </w:r>
    </w:p>
    <w:bookmarkEnd w:id="252"/>
    <w:p w14:paraId="6B5201B7" w14:textId="456B74D0" w:rsidR="003A2947" w:rsidRDefault="003A2947" w:rsidP="006549EE">
      <w:r>
        <w:br w:type="page"/>
      </w:r>
    </w:p>
    <w:p w14:paraId="61F719EF" w14:textId="77777777" w:rsidR="00A63672" w:rsidRDefault="00A63672" w:rsidP="00151CB2">
      <w:pPr>
        <w:pStyle w:val="1B"/>
        <w:sectPr w:rsidR="00A63672" w:rsidSect="00A63672">
          <w:footerReference w:type="default" r:id="rId18"/>
          <w:type w:val="continuous"/>
          <w:pgSz w:w="12240" w:h="15840"/>
          <w:pgMar w:top="1440" w:right="1440" w:bottom="1440" w:left="1440" w:header="720" w:footer="432" w:gutter="0"/>
          <w:cols w:space="720"/>
          <w:docGrid w:linePitch="360"/>
        </w:sectPr>
      </w:pPr>
      <w:bookmarkStart w:id="253" w:name="_Ref529182246"/>
    </w:p>
    <w:p w14:paraId="6B854B97" w14:textId="77C52A5D" w:rsidR="007C391B" w:rsidRDefault="00D05CEF" w:rsidP="00151CB2">
      <w:pPr>
        <w:pStyle w:val="1B"/>
      </w:pPr>
      <w:bookmarkStart w:id="254" w:name="_Ref534383201"/>
      <w:bookmarkStart w:id="255" w:name="_Toc536209175"/>
      <w:r w:rsidRPr="006549EE">
        <w:t>TECHNOLOGY</w:t>
      </w:r>
      <w:r>
        <w:t xml:space="preserve"> SCREENING</w:t>
      </w:r>
      <w:bookmarkEnd w:id="253"/>
      <w:bookmarkEnd w:id="254"/>
      <w:bookmarkEnd w:id="255"/>
    </w:p>
    <w:p w14:paraId="233CCB39" w14:textId="4BEAC51E" w:rsidR="00130D6C" w:rsidRPr="00F91FD3" w:rsidRDefault="00130D6C" w:rsidP="00F91FD3">
      <w:r w:rsidRPr="005D4912">
        <w:t xml:space="preserve">Before a technology is considered in the </w:t>
      </w:r>
      <w:r>
        <w:t>detailed screening</w:t>
      </w:r>
      <w:r w:rsidRPr="005D4912">
        <w:t xml:space="preserve">, an initial screen is done by </w:t>
      </w:r>
      <w:r>
        <w:t xml:space="preserve">Generation Planning and Development with consultation from </w:t>
      </w:r>
      <w:r w:rsidR="005517AF">
        <w:t xml:space="preserve">SCS </w:t>
      </w:r>
      <w:r>
        <w:t>Research and Development</w:t>
      </w:r>
      <w:r w:rsidR="005517AF">
        <w:t xml:space="preserve"> (“SCS R&amp;D”)</w:t>
      </w:r>
      <w:r>
        <w:t xml:space="preserve">, Environmental Affairs, the Technical Services division of Engineering and Construction </w:t>
      </w:r>
      <w:r w:rsidR="001C0E78">
        <w:t>Services and other functions as appropriate</w:t>
      </w:r>
      <w:r w:rsidR="001C0E78" w:rsidRPr="005D4912">
        <w:t xml:space="preserve"> to determine if further evaluation is merited. </w:t>
      </w:r>
      <w:r w:rsidR="00FB3B8F">
        <w:fldChar w:fldCharType="begin"/>
      </w:r>
      <w:r w:rsidR="00FB3B8F">
        <w:instrText xml:space="preserve"> REF _Ref532999651 \h </w:instrText>
      </w:r>
      <w:r w:rsidR="00FB3B8F">
        <w:fldChar w:fldCharType="separate"/>
      </w:r>
      <w:r w:rsidR="00F33DA2">
        <w:t>Table B-</w:t>
      </w:r>
      <w:r w:rsidR="00F33DA2">
        <w:rPr>
          <w:noProof/>
        </w:rPr>
        <w:t>1</w:t>
      </w:r>
      <w:r w:rsidR="00FB3B8F">
        <w:fldChar w:fldCharType="end"/>
      </w:r>
      <w:r w:rsidR="00FD5DF5">
        <w:t xml:space="preserve"> </w:t>
      </w:r>
      <w:r w:rsidR="006D199F">
        <w:t>list</w:t>
      </w:r>
      <w:r w:rsidR="005517AF">
        <w:t xml:space="preserve">s the </w:t>
      </w:r>
      <w:r w:rsidRPr="005D4912">
        <w:t xml:space="preserve">technologies </w:t>
      </w:r>
      <w:r w:rsidR="006D199F">
        <w:t xml:space="preserve">that begin the initial </w:t>
      </w:r>
      <w:r>
        <w:t>screening</w:t>
      </w:r>
      <w:r w:rsidR="006D199F">
        <w:t xml:space="preserve"> process</w:t>
      </w:r>
      <w:r w:rsidRPr="005D4912">
        <w:t>.</w:t>
      </w:r>
    </w:p>
    <w:p w14:paraId="44B1D2C4" w14:textId="1AA530EA" w:rsidR="00471F21" w:rsidRDefault="00471F21" w:rsidP="00471F21">
      <w:pPr>
        <w:pStyle w:val="Caption"/>
        <w:keepNext/>
        <w:jc w:val="center"/>
      </w:pPr>
      <w:bookmarkStart w:id="256" w:name="_Ref532999651"/>
      <w:r>
        <w:t xml:space="preserve">Table </w:t>
      </w:r>
      <w:r w:rsidR="00FB3B8F">
        <w:t>B-</w:t>
      </w:r>
      <w:r w:rsidR="00FA0526">
        <w:rPr>
          <w:noProof/>
        </w:rPr>
        <w:fldChar w:fldCharType="begin"/>
      </w:r>
      <w:r w:rsidR="00FA0526">
        <w:rPr>
          <w:noProof/>
        </w:rPr>
        <w:instrText xml:space="preserve"> SEQ Table \* ARABIC </w:instrText>
      </w:r>
      <w:r w:rsidR="00FA0526">
        <w:rPr>
          <w:noProof/>
        </w:rPr>
        <w:fldChar w:fldCharType="separate"/>
      </w:r>
      <w:r w:rsidR="00F33DA2">
        <w:rPr>
          <w:noProof/>
        </w:rPr>
        <w:t>1</w:t>
      </w:r>
      <w:r w:rsidR="00FA0526">
        <w:rPr>
          <w:noProof/>
        </w:rPr>
        <w:fldChar w:fldCharType="end"/>
      </w:r>
      <w:bookmarkEnd w:id="256"/>
      <w:r w:rsidR="00FB3B8F">
        <w:t>:</w:t>
      </w:r>
      <w:r>
        <w:t xml:space="preserve"> </w:t>
      </w:r>
      <w:r w:rsidRPr="00A725A7">
        <w:t>Preliminary Screening Technologies (summary)</w:t>
      </w:r>
    </w:p>
    <w:tbl>
      <w:tblPr>
        <w:tblStyle w:val="TableGrid1"/>
        <w:tblW w:w="0" w:type="auto"/>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4683"/>
        <w:gridCol w:w="4647"/>
      </w:tblGrid>
      <w:tr w:rsidR="00130D6C" w:rsidRPr="001C2E23" w14:paraId="0C2002C1" w14:textId="77777777" w:rsidTr="001C2E23">
        <w:trPr>
          <w:trHeight w:val="288"/>
        </w:trPr>
        <w:tc>
          <w:tcPr>
            <w:tcW w:w="4683" w:type="dxa"/>
          </w:tcPr>
          <w:p w14:paraId="6E4D0A38" w14:textId="77777777" w:rsidR="00130D6C" w:rsidRPr="001C2E23" w:rsidRDefault="00130D6C" w:rsidP="00130D6C">
            <w:pPr>
              <w:spacing w:after="0" w:line="240" w:lineRule="auto"/>
              <w:jc w:val="left"/>
              <w:rPr>
                <w:rFonts w:asciiTheme="minorHAnsi" w:hAnsiTheme="minorHAnsi" w:cstheme="minorHAnsi"/>
                <w:sz w:val="22"/>
                <w:highlight w:val="yellow"/>
                <w:lang w:bidi="en-US"/>
              </w:rPr>
            </w:pPr>
            <w:r w:rsidRPr="001C2E23">
              <w:rPr>
                <w:rFonts w:asciiTheme="minorHAnsi" w:hAnsiTheme="minorHAnsi" w:cstheme="minorHAnsi"/>
                <w:b/>
                <w:sz w:val="22"/>
                <w:u w:val="single"/>
                <w:lang w:bidi="en-US"/>
              </w:rPr>
              <w:t>COAL-FUELED</w:t>
            </w:r>
          </w:p>
        </w:tc>
        <w:tc>
          <w:tcPr>
            <w:tcW w:w="4647" w:type="dxa"/>
          </w:tcPr>
          <w:p w14:paraId="1C8DEF3F"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b/>
                <w:sz w:val="22"/>
                <w:u w:val="single"/>
                <w:lang w:bidi="en-US"/>
              </w:rPr>
              <w:t>NUCLEAR</w:t>
            </w:r>
          </w:p>
        </w:tc>
      </w:tr>
      <w:tr w:rsidR="00130D6C" w:rsidRPr="001C2E23" w14:paraId="3F04573D" w14:textId="77777777" w:rsidTr="001C2E23">
        <w:trPr>
          <w:trHeight w:val="288"/>
        </w:trPr>
        <w:tc>
          <w:tcPr>
            <w:tcW w:w="4683" w:type="dxa"/>
          </w:tcPr>
          <w:p w14:paraId="431668CD"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Subcritical Pulverized Coal</w:t>
            </w:r>
          </w:p>
        </w:tc>
        <w:tc>
          <w:tcPr>
            <w:tcW w:w="4647" w:type="dxa"/>
          </w:tcPr>
          <w:p w14:paraId="4DBF4D46"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Advanced LWR Evolutionary</w:t>
            </w:r>
          </w:p>
        </w:tc>
      </w:tr>
      <w:tr w:rsidR="00130D6C" w:rsidRPr="001C2E23" w14:paraId="0790D7CF" w14:textId="77777777" w:rsidTr="001C2E23">
        <w:trPr>
          <w:trHeight w:val="288"/>
        </w:trPr>
        <w:tc>
          <w:tcPr>
            <w:tcW w:w="4683" w:type="dxa"/>
          </w:tcPr>
          <w:p w14:paraId="24938CB7"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Supercritical Pulverized Coal</w:t>
            </w:r>
          </w:p>
        </w:tc>
        <w:tc>
          <w:tcPr>
            <w:tcW w:w="4647" w:type="dxa"/>
          </w:tcPr>
          <w:p w14:paraId="4B89FBE2"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Advanced LWR Passive</w:t>
            </w:r>
          </w:p>
        </w:tc>
      </w:tr>
      <w:tr w:rsidR="00130D6C" w:rsidRPr="001C2E23" w14:paraId="3AD9BD59" w14:textId="77777777" w:rsidTr="001C2E23">
        <w:trPr>
          <w:trHeight w:val="288"/>
        </w:trPr>
        <w:tc>
          <w:tcPr>
            <w:tcW w:w="4683" w:type="dxa"/>
          </w:tcPr>
          <w:p w14:paraId="5AB3D758"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Ultrasupercritical Pulverized Coal</w:t>
            </w:r>
          </w:p>
        </w:tc>
        <w:tc>
          <w:tcPr>
            <w:tcW w:w="4647" w:type="dxa"/>
          </w:tcPr>
          <w:p w14:paraId="40593F2F"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Advanced LWR Modular</w:t>
            </w:r>
          </w:p>
        </w:tc>
      </w:tr>
      <w:tr w:rsidR="00130D6C" w:rsidRPr="001C2E23" w14:paraId="0D72C695" w14:textId="77777777" w:rsidTr="001C2E23">
        <w:trPr>
          <w:trHeight w:val="288"/>
        </w:trPr>
        <w:tc>
          <w:tcPr>
            <w:tcW w:w="4683" w:type="dxa"/>
          </w:tcPr>
          <w:p w14:paraId="4E41DFEA"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Advanced Ultrasupercritical Pulverized Coal</w:t>
            </w:r>
          </w:p>
        </w:tc>
        <w:tc>
          <w:tcPr>
            <w:tcW w:w="4647" w:type="dxa"/>
          </w:tcPr>
          <w:p w14:paraId="5037F304"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 xml:space="preserve">Generation IV </w:t>
            </w:r>
          </w:p>
        </w:tc>
      </w:tr>
      <w:tr w:rsidR="00130D6C" w:rsidRPr="001C2E23" w14:paraId="67A9D851" w14:textId="77777777" w:rsidTr="001C2E23">
        <w:trPr>
          <w:trHeight w:val="288"/>
        </w:trPr>
        <w:tc>
          <w:tcPr>
            <w:tcW w:w="4683" w:type="dxa"/>
          </w:tcPr>
          <w:p w14:paraId="07390BB6"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Atmospheric Fluidized Bed Combustion</w:t>
            </w:r>
          </w:p>
        </w:tc>
        <w:tc>
          <w:tcPr>
            <w:tcW w:w="4647" w:type="dxa"/>
          </w:tcPr>
          <w:p w14:paraId="328306D5"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Small Modular Reactor</w:t>
            </w:r>
          </w:p>
        </w:tc>
      </w:tr>
      <w:tr w:rsidR="00130D6C" w:rsidRPr="001C2E23" w14:paraId="19A6430E" w14:textId="77777777" w:rsidTr="001C2E23">
        <w:trPr>
          <w:trHeight w:val="288"/>
        </w:trPr>
        <w:tc>
          <w:tcPr>
            <w:tcW w:w="4683" w:type="dxa"/>
          </w:tcPr>
          <w:p w14:paraId="79DC8B71"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Oxygen-Blown IGCC</w:t>
            </w:r>
          </w:p>
        </w:tc>
        <w:tc>
          <w:tcPr>
            <w:tcW w:w="4647" w:type="dxa"/>
          </w:tcPr>
          <w:p w14:paraId="1CDE5D19" w14:textId="77777777" w:rsidR="00130D6C" w:rsidRPr="001C2E23" w:rsidRDefault="00130D6C" w:rsidP="00130D6C">
            <w:pPr>
              <w:spacing w:after="0" w:line="240" w:lineRule="auto"/>
              <w:jc w:val="left"/>
              <w:rPr>
                <w:rFonts w:asciiTheme="minorHAnsi" w:hAnsiTheme="minorHAnsi" w:cstheme="minorHAnsi"/>
                <w:sz w:val="22"/>
                <w:lang w:bidi="en-US"/>
              </w:rPr>
            </w:pPr>
          </w:p>
        </w:tc>
      </w:tr>
      <w:tr w:rsidR="00130D6C" w:rsidRPr="001C2E23" w14:paraId="49A071AB" w14:textId="77777777" w:rsidTr="001C2E23">
        <w:trPr>
          <w:trHeight w:val="288"/>
        </w:trPr>
        <w:tc>
          <w:tcPr>
            <w:tcW w:w="4683" w:type="dxa"/>
          </w:tcPr>
          <w:p w14:paraId="1A6721B1"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Air-Blown IGCC</w:t>
            </w:r>
          </w:p>
        </w:tc>
        <w:tc>
          <w:tcPr>
            <w:tcW w:w="4647" w:type="dxa"/>
          </w:tcPr>
          <w:p w14:paraId="01844039" w14:textId="77777777" w:rsidR="00130D6C" w:rsidRPr="001C2E23" w:rsidRDefault="00130D6C" w:rsidP="00130D6C">
            <w:pPr>
              <w:spacing w:after="0" w:line="240" w:lineRule="auto"/>
              <w:jc w:val="left"/>
              <w:rPr>
                <w:rFonts w:asciiTheme="minorHAnsi" w:hAnsiTheme="minorHAnsi" w:cstheme="minorHAnsi"/>
                <w:b/>
                <w:sz w:val="22"/>
                <w:u w:val="single"/>
                <w:lang w:bidi="en-US"/>
              </w:rPr>
            </w:pPr>
            <w:r w:rsidRPr="001C2E23">
              <w:rPr>
                <w:rFonts w:asciiTheme="minorHAnsi" w:hAnsiTheme="minorHAnsi" w:cstheme="minorHAnsi"/>
                <w:b/>
                <w:sz w:val="22"/>
                <w:u w:val="single"/>
                <w:lang w:bidi="en-US"/>
              </w:rPr>
              <w:t>RENEWABLES</w:t>
            </w:r>
          </w:p>
        </w:tc>
      </w:tr>
      <w:tr w:rsidR="00130D6C" w:rsidRPr="001C2E23" w14:paraId="3890E4DF" w14:textId="77777777" w:rsidTr="001C2E23">
        <w:trPr>
          <w:trHeight w:val="288"/>
        </w:trPr>
        <w:tc>
          <w:tcPr>
            <w:tcW w:w="4683" w:type="dxa"/>
          </w:tcPr>
          <w:p w14:paraId="2B359859" w14:textId="2D5094B6"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rPr>
              <w:t xml:space="preserve">Non-Integrated Coal Gasification </w:t>
            </w:r>
            <w:r w:rsidR="00AA7E07" w:rsidRPr="001C2E23">
              <w:rPr>
                <w:rFonts w:asciiTheme="minorHAnsi" w:hAnsiTheme="minorHAnsi" w:cstheme="minorHAnsi"/>
                <w:sz w:val="22"/>
              </w:rPr>
              <w:t>CC</w:t>
            </w:r>
          </w:p>
        </w:tc>
        <w:tc>
          <w:tcPr>
            <w:tcW w:w="4647" w:type="dxa"/>
          </w:tcPr>
          <w:p w14:paraId="42224A80" w14:textId="77777777" w:rsidR="00130D6C" w:rsidRPr="001C2E23" w:rsidRDefault="00130D6C" w:rsidP="00130D6C">
            <w:pPr>
              <w:spacing w:after="0" w:line="240" w:lineRule="auto"/>
              <w:jc w:val="left"/>
              <w:rPr>
                <w:rFonts w:asciiTheme="minorHAnsi" w:hAnsiTheme="minorHAnsi" w:cstheme="minorHAnsi"/>
                <w:b/>
                <w:sz w:val="22"/>
                <w:u w:val="single"/>
                <w:lang w:bidi="en-US"/>
              </w:rPr>
            </w:pPr>
            <w:r w:rsidRPr="001C2E23">
              <w:rPr>
                <w:rFonts w:asciiTheme="minorHAnsi" w:hAnsiTheme="minorHAnsi" w:cstheme="minorHAnsi"/>
                <w:sz w:val="22"/>
                <w:lang w:bidi="en-US"/>
              </w:rPr>
              <w:t>Solar Thermal Parabolic Trough</w:t>
            </w:r>
          </w:p>
        </w:tc>
      </w:tr>
      <w:tr w:rsidR="00130D6C" w:rsidRPr="001C2E23" w14:paraId="7107E87F" w14:textId="77777777" w:rsidTr="001C2E23">
        <w:trPr>
          <w:trHeight w:val="288"/>
        </w:trPr>
        <w:tc>
          <w:tcPr>
            <w:tcW w:w="4683" w:type="dxa"/>
          </w:tcPr>
          <w:p w14:paraId="29A906B8" w14:textId="0765C564"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rPr>
              <w:t xml:space="preserve">Integrated Gasification Fuel Cell </w:t>
            </w:r>
            <w:r w:rsidR="00AA7E07" w:rsidRPr="001C2E23">
              <w:rPr>
                <w:rFonts w:asciiTheme="minorHAnsi" w:hAnsiTheme="minorHAnsi" w:cstheme="minorHAnsi"/>
                <w:sz w:val="22"/>
              </w:rPr>
              <w:t>CC</w:t>
            </w:r>
          </w:p>
        </w:tc>
        <w:tc>
          <w:tcPr>
            <w:tcW w:w="4647" w:type="dxa"/>
          </w:tcPr>
          <w:p w14:paraId="5473942A"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 xml:space="preserve">Solar PV </w:t>
            </w:r>
          </w:p>
        </w:tc>
      </w:tr>
      <w:tr w:rsidR="00130D6C" w:rsidRPr="001C2E23" w14:paraId="6AAE8F35" w14:textId="77777777" w:rsidTr="001C2E23">
        <w:trPr>
          <w:trHeight w:val="288"/>
        </w:trPr>
        <w:tc>
          <w:tcPr>
            <w:tcW w:w="4683" w:type="dxa"/>
          </w:tcPr>
          <w:p w14:paraId="576F36CA"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rPr>
              <w:t>Magnetohydrodynamics</w:t>
            </w:r>
          </w:p>
        </w:tc>
        <w:tc>
          <w:tcPr>
            <w:tcW w:w="4647" w:type="dxa"/>
          </w:tcPr>
          <w:p w14:paraId="6095B787"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Wind Power</w:t>
            </w:r>
          </w:p>
        </w:tc>
      </w:tr>
      <w:tr w:rsidR="00130D6C" w:rsidRPr="001C2E23" w14:paraId="5D95C930" w14:textId="77777777" w:rsidTr="001C2E23">
        <w:trPr>
          <w:trHeight w:val="288"/>
        </w:trPr>
        <w:tc>
          <w:tcPr>
            <w:tcW w:w="4683" w:type="dxa"/>
          </w:tcPr>
          <w:p w14:paraId="45B8C3F0" w14:textId="77777777" w:rsidR="00130D6C" w:rsidRPr="001C2E23" w:rsidRDefault="00130D6C" w:rsidP="00130D6C">
            <w:pPr>
              <w:spacing w:after="0" w:line="240" w:lineRule="auto"/>
              <w:jc w:val="left"/>
              <w:rPr>
                <w:rFonts w:asciiTheme="minorHAnsi" w:hAnsiTheme="minorHAnsi" w:cstheme="minorHAnsi"/>
                <w:sz w:val="22"/>
                <w:lang w:bidi="en-US"/>
              </w:rPr>
            </w:pPr>
          </w:p>
        </w:tc>
        <w:tc>
          <w:tcPr>
            <w:tcW w:w="4647" w:type="dxa"/>
          </w:tcPr>
          <w:p w14:paraId="5C41A64D"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 xml:space="preserve">Tall Tower Large Rotor Wind Power </w:t>
            </w:r>
          </w:p>
        </w:tc>
      </w:tr>
      <w:tr w:rsidR="00130D6C" w:rsidRPr="001C2E23" w14:paraId="7075F3EC" w14:textId="77777777" w:rsidTr="001C2E23">
        <w:trPr>
          <w:trHeight w:val="288"/>
        </w:trPr>
        <w:tc>
          <w:tcPr>
            <w:tcW w:w="4683" w:type="dxa"/>
          </w:tcPr>
          <w:p w14:paraId="565421E2"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b/>
                <w:sz w:val="22"/>
                <w:u w:val="single"/>
                <w:lang w:bidi="en-US"/>
              </w:rPr>
              <w:t>LIQUID/GAS FUELED</w:t>
            </w:r>
          </w:p>
        </w:tc>
        <w:tc>
          <w:tcPr>
            <w:tcW w:w="4647" w:type="dxa"/>
          </w:tcPr>
          <w:p w14:paraId="74A4C712"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Offshore Wind Power</w:t>
            </w:r>
          </w:p>
        </w:tc>
      </w:tr>
      <w:tr w:rsidR="00130D6C" w:rsidRPr="001C2E23" w14:paraId="124775B3" w14:textId="77777777" w:rsidTr="001C2E23">
        <w:trPr>
          <w:trHeight w:val="288"/>
        </w:trPr>
        <w:tc>
          <w:tcPr>
            <w:tcW w:w="4683" w:type="dxa"/>
          </w:tcPr>
          <w:p w14:paraId="781BA4A2"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rPr>
              <w:t>CT (Conventional/ Advanced)</w:t>
            </w:r>
          </w:p>
        </w:tc>
        <w:tc>
          <w:tcPr>
            <w:tcW w:w="4647" w:type="dxa"/>
          </w:tcPr>
          <w:p w14:paraId="5787DD73"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Municipal Solid Waste</w:t>
            </w:r>
          </w:p>
        </w:tc>
      </w:tr>
      <w:tr w:rsidR="00130D6C" w:rsidRPr="001C2E23" w14:paraId="4F880323" w14:textId="77777777" w:rsidTr="001C2E23">
        <w:trPr>
          <w:trHeight w:val="288"/>
        </w:trPr>
        <w:tc>
          <w:tcPr>
            <w:tcW w:w="4683" w:type="dxa"/>
          </w:tcPr>
          <w:p w14:paraId="5A7AFD3D" w14:textId="4E61755B"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 xml:space="preserve">CC </w:t>
            </w:r>
            <w:r w:rsidR="00FE3C31" w:rsidRPr="001C2E23">
              <w:rPr>
                <w:rFonts w:asciiTheme="minorHAnsi" w:hAnsiTheme="minorHAnsi" w:cstheme="minorHAnsi"/>
                <w:sz w:val="22"/>
                <w:lang w:bidi="en-US"/>
              </w:rPr>
              <w:t>(</w:t>
            </w:r>
            <w:r w:rsidRPr="001C2E23">
              <w:rPr>
                <w:rFonts w:asciiTheme="minorHAnsi" w:hAnsiTheme="minorHAnsi" w:cstheme="minorHAnsi"/>
                <w:sz w:val="22"/>
                <w:lang w:bidi="en-US"/>
              </w:rPr>
              <w:t>Conventional/ Advanced</w:t>
            </w:r>
            <w:r w:rsidR="00FE3C31" w:rsidRPr="001C2E23">
              <w:rPr>
                <w:rFonts w:asciiTheme="minorHAnsi" w:hAnsiTheme="minorHAnsi" w:cstheme="minorHAnsi"/>
                <w:sz w:val="22"/>
                <w:lang w:bidi="en-US"/>
              </w:rPr>
              <w:t>)</w:t>
            </w:r>
          </w:p>
        </w:tc>
        <w:tc>
          <w:tcPr>
            <w:tcW w:w="4647" w:type="dxa"/>
          </w:tcPr>
          <w:p w14:paraId="3B51E341"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Dedicated Biomass</w:t>
            </w:r>
          </w:p>
        </w:tc>
      </w:tr>
      <w:tr w:rsidR="00130D6C" w:rsidRPr="001C2E23" w14:paraId="16B8D540" w14:textId="77777777" w:rsidTr="001C2E23">
        <w:trPr>
          <w:trHeight w:val="288"/>
        </w:trPr>
        <w:tc>
          <w:tcPr>
            <w:tcW w:w="4683" w:type="dxa"/>
          </w:tcPr>
          <w:p w14:paraId="2FED3D58"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rPr>
              <w:t>Phosphoric Acid Fuel Cells</w:t>
            </w:r>
          </w:p>
        </w:tc>
        <w:tc>
          <w:tcPr>
            <w:tcW w:w="4647" w:type="dxa"/>
          </w:tcPr>
          <w:p w14:paraId="3B571476"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Co-fired Biomass or Wood Waste</w:t>
            </w:r>
          </w:p>
        </w:tc>
      </w:tr>
      <w:tr w:rsidR="00130D6C" w:rsidRPr="001C2E23" w14:paraId="54E15A40" w14:textId="77777777" w:rsidTr="001C2E23">
        <w:trPr>
          <w:trHeight w:val="288"/>
        </w:trPr>
        <w:tc>
          <w:tcPr>
            <w:tcW w:w="4683" w:type="dxa"/>
          </w:tcPr>
          <w:p w14:paraId="4BD9BEAF"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MCFC &amp; SOFC</w:t>
            </w:r>
          </w:p>
        </w:tc>
        <w:tc>
          <w:tcPr>
            <w:tcW w:w="4647" w:type="dxa"/>
          </w:tcPr>
          <w:p w14:paraId="7B750F85"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Landfill gas</w:t>
            </w:r>
          </w:p>
        </w:tc>
      </w:tr>
      <w:tr w:rsidR="00130D6C" w:rsidRPr="001C2E23" w14:paraId="4C057B4F" w14:textId="77777777" w:rsidTr="001C2E23">
        <w:trPr>
          <w:trHeight w:val="288"/>
        </w:trPr>
        <w:tc>
          <w:tcPr>
            <w:tcW w:w="4683" w:type="dxa"/>
          </w:tcPr>
          <w:p w14:paraId="645029AE"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Fuel Cell CC</w:t>
            </w:r>
          </w:p>
        </w:tc>
        <w:tc>
          <w:tcPr>
            <w:tcW w:w="4647" w:type="dxa"/>
          </w:tcPr>
          <w:p w14:paraId="725BEFA5"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 xml:space="preserve">Geothermal </w:t>
            </w:r>
          </w:p>
        </w:tc>
      </w:tr>
      <w:tr w:rsidR="00130D6C" w:rsidRPr="001C2E23" w14:paraId="1760BEF5" w14:textId="77777777" w:rsidTr="001C2E23">
        <w:trPr>
          <w:trHeight w:val="288"/>
        </w:trPr>
        <w:tc>
          <w:tcPr>
            <w:tcW w:w="4683" w:type="dxa"/>
          </w:tcPr>
          <w:p w14:paraId="095874F9"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 xml:space="preserve">Reciprocating Engine </w:t>
            </w:r>
          </w:p>
        </w:tc>
        <w:tc>
          <w:tcPr>
            <w:tcW w:w="4647" w:type="dxa"/>
          </w:tcPr>
          <w:p w14:paraId="218C1DD2"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Solar Stirling Dish</w:t>
            </w:r>
          </w:p>
        </w:tc>
      </w:tr>
      <w:tr w:rsidR="00130D6C" w:rsidRPr="001C2E23" w14:paraId="46607F14" w14:textId="77777777" w:rsidTr="001C2E23">
        <w:trPr>
          <w:trHeight w:val="288"/>
        </w:trPr>
        <w:tc>
          <w:tcPr>
            <w:tcW w:w="4683" w:type="dxa"/>
          </w:tcPr>
          <w:p w14:paraId="758A8349"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Microturbines</w:t>
            </w:r>
          </w:p>
        </w:tc>
        <w:tc>
          <w:tcPr>
            <w:tcW w:w="4647" w:type="dxa"/>
          </w:tcPr>
          <w:p w14:paraId="5DDB6FE5"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Solar Central Receiver Technology</w:t>
            </w:r>
          </w:p>
        </w:tc>
      </w:tr>
      <w:tr w:rsidR="00130D6C" w:rsidRPr="001C2E23" w14:paraId="074A54AD" w14:textId="77777777" w:rsidTr="001C2E23">
        <w:trPr>
          <w:trHeight w:val="288"/>
        </w:trPr>
        <w:tc>
          <w:tcPr>
            <w:tcW w:w="4683" w:type="dxa"/>
          </w:tcPr>
          <w:p w14:paraId="7EF808C4" w14:textId="77777777" w:rsidR="00130D6C" w:rsidRPr="001C2E23" w:rsidRDefault="00130D6C" w:rsidP="00130D6C">
            <w:pPr>
              <w:spacing w:after="0" w:line="240" w:lineRule="auto"/>
              <w:jc w:val="left"/>
              <w:rPr>
                <w:rFonts w:asciiTheme="minorHAnsi" w:hAnsiTheme="minorHAnsi" w:cstheme="minorHAnsi"/>
                <w:sz w:val="22"/>
                <w:lang w:bidi="en-US"/>
              </w:rPr>
            </w:pPr>
          </w:p>
        </w:tc>
        <w:tc>
          <w:tcPr>
            <w:tcW w:w="4647" w:type="dxa"/>
          </w:tcPr>
          <w:p w14:paraId="0C7533A1"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Compact Linear Fresnel Reflector</w:t>
            </w:r>
          </w:p>
        </w:tc>
      </w:tr>
      <w:tr w:rsidR="00130D6C" w:rsidRPr="001C2E23" w14:paraId="0A3CA965" w14:textId="77777777" w:rsidTr="001C2E23">
        <w:trPr>
          <w:trHeight w:val="288"/>
        </w:trPr>
        <w:tc>
          <w:tcPr>
            <w:tcW w:w="4683" w:type="dxa"/>
          </w:tcPr>
          <w:p w14:paraId="499F1244"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b/>
                <w:sz w:val="22"/>
                <w:u w:val="single"/>
                <w:lang w:bidi="en-US"/>
              </w:rPr>
              <w:t>ENERGY STORAGE</w:t>
            </w:r>
          </w:p>
        </w:tc>
        <w:tc>
          <w:tcPr>
            <w:tcW w:w="4647" w:type="dxa"/>
          </w:tcPr>
          <w:p w14:paraId="768C94FD"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Ocean Energy and Hydrokinetic Generation</w:t>
            </w:r>
          </w:p>
        </w:tc>
      </w:tr>
      <w:tr w:rsidR="00130D6C" w:rsidRPr="001C2E23" w14:paraId="7F828D64" w14:textId="77777777" w:rsidTr="001C2E23">
        <w:trPr>
          <w:trHeight w:val="288"/>
        </w:trPr>
        <w:tc>
          <w:tcPr>
            <w:tcW w:w="4683" w:type="dxa"/>
          </w:tcPr>
          <w:p w14:paraId="543B485B" w14:textId="701E2799"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 xml:space="preserve">Pumped </w:t>
            </w:r>
            <w:r w:rsidR="009649EE" w:rsidRPr="001C2E23">
              <w:rPr>
                <w:rFonts w:asciiTheme="minorHAnsi" w:hAnsiTheme="minorHAnsi" w:cstheme="minorHAnsi"/>
                <w:sz w:val="22"/>
                <w:lang w:bidi="en-US"/>
              </w:rPr>
              <w:t>Storage Hydro</w:t>
            </w:r>
          </w:p>
        </w:tc>
        <w:tc>
          <w:tcPr>
            <w:tcW w:w="4647" w:type="dxa"/>
          </w:tcPr>
          <w:p w14:paraId="01539B89"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Ocean Thermal Generation</w:t>
            </w:r>
          </w:p>
        </w:tc>
      </w:tr>
      <w:tr w:rsidR="00130D6C" w:rsidRPr="001C2E23" w14:paraId="41E7FB6E" w14:textId="77777777" w:rsidTr="001C2E23">
        <w:trPr>
          <w:trHeight w:val="288"/>
        </w:trPr>
        <w:tc>
          <w:tcPr>
            <w:tcW w:w="4683" w:type="dxa"/>
          </w:tcPr>
          <w:p w14:paraId="4E771F21" w14:textId="460F8113"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Undergro</w:t>
            </w:r>
            <w:r w:rsidR="009649EE" w:rsidRPr="001C2E23">
              <w:rPr>
                <w:rFonts w:asciiTheme="minorHAnsi" w:hAnsiTheme="minorHAnsi" w:cstheme="minorHAnsi"/>
                <w:sz w:val="22"/>
                <w:lang w:bidi="en-US"/>
              </w:rPr>
              <w:t>und Pumped Storage Hydro</w:t>
            </w:r>
          </w:p>
        </w:tc>
        <w:tc>
          <w:tcPr>
            <w:tcW w:w="4647" w:type="dxa"/>
          </w:tcPr>
          <w:p w14:paraId="4AF20649"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rPr>
              <w:t>Direct-fired Supercritical CO</w:t>
            </w:r>
            <w:r w:rsidRPr="00856021">
              <w:rPr>
                <w:rFonts w:asciiTheme="minorHAnsi" w:hAnsiTheme="minorHAnsi" w:cstheme="minorHAnsi"/>
                <w:sz w:val="22"/>
                <w:vertAlign w:val="subscript"/>
              </w:rPr>
              <w:t>2</w:t>
            </w:r>
            <w:r w:rsidRPr="001C2E23">
              <w:rPr>
                <w:rFonts w:asciiTheme="minorHAnsi" w:hAnsiTheme="minorHAnsi" w:cstheme="minorHAnsi"/>
                <w:sz w:val="22"/>
              </w:rPr>
              <w:t xml:space="preserve"> cycle</w:t>
            </w:r>
          </w:p>
        </w:tc>
      </w:tr>
      <w:tr w:rsidR="00130D6C" w:rsidRPr="001C2E23" w14:paraId="64C9CDDC" w14:textId="77777777" w:rsidTr="001C2E23">
        <w:trPr>
          <w:trHeight w:val="288"/>
        </w:trPr>
        <w:tc>
          <w:tcPr>
            <w:tcW w:w="4683" w:type="dxa"/>
          </w:tcPr>
          <w:p w14:paraId="7BA58DCA" w14:textId="039E7D52"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Compressed Air Energy Storage</w:t>
            </w:r>
            <w:r w:rsidR="006D199F">
              <w:rPr>
                <w:rFonts w:asciiTheme="minorHAnsi" w:hAnsiTheme="minorHAnsi" w:cstheme="minorHAnsi"/>
                <w:sz w:val="22"/>
                <w:lang w:bidi="en-US"/>
              </w:rPr>
              <w:t xml:space="preserve"> –</w:t>
            </w:r>
            <w:r w:rsidRPr="001C2E23">
              <w:rPr>
                <w:rFonts w:asciiTheme="minorHAnsi" w:hAnsiTheme="minorHAnsi" w:cstheme="minorHAnsi"/>
                <w:sz w:val="22"/>
                <w:lang w:bidi="en-US"/>
              </w:rPr>
              <w:t xml:space="preserve"> Gen I </w:t>
            </w:r>
          </w:p>
        </w:tc>
        <w:tc>
          <w:tcPr>
            <w:tcW w:w="4647" w:type="dxa"/>
          </w:tcPr>
          <w:p w14:paraId="193D6EA1" w14:textId="77777777" w:rsidR="00130D6C" w:rsidRPr="001C2E23" w:rsidRDefault="00130D6C" w:rsidP="00130D6C">
            <w:pPr>
              <w:spacing w:after="0" w:line="240" w:lineRule="auto"/>
              <w:jc w:val="left"/>
              <w:rPr>
                <w:rFonts w:asciiTheme="minorHAnsi" w:hAnsiTheme="minorHAnsi" w:cstheme="minorHAnsi"/>
                <w:sz w:val="22"/>
                <w:lang w:bidi="en-US"/>
              </w:rPr>
            </w:pPr>
          </w:p>
        </w:tc>
      </w:tr>
      <w:tr w:rsidR="00130D6C" w:rsidRPr="001C2E23" w14:paraId="29FC6FF8" w14:textId="77777777" w:rsidTr="001C2E23">
        <w:trPr>
          <w:trHeight w:val="288"/>
        </w:trPr>
        <w:tc>
          <w:tcPr>
            <w:tcW w:w="4683" w:type="dxa"/>
          </w:tcPr>
          <w:p w14:paraId="2CEB53AE" w14:textId="2362D816"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Compressed Air Energy Storage</w:t>
            </w:r>
            <w:r w:rsidR="006D199F">
              <w:rPr>
                <w:rFonts w:asciiTheme="minorHAnsi" w:hAnsiTheme="minorHAnsi" w:cstheme="minorHAnsi"/>
                <w:sz w:val="22"/>
                <w:lang w:bidi="en-US"/>
              </w:rPr>
              <w:t xml:space="preserve"> –</w:t>
            </w:r>
            <w:r w:rsidRPr="001C2E23">
              <w:rPr>
                <w:rFonts w:asciiTheme="minorHAnsi" w:hAnsiTheme="minorHAnsi" w:cstheme="minorHAnsi"/>
                <w:sz w:val="22"/>
                <w:lang w:bidi="en-US"/>
              </w:rPr>
              <w:t xml:space="preserve"> Gen II</w:t>
            </w:r>
          </w:p>
        </w:tc>
        <w:tc>
          <w:tcPr>
            <w:tcW w:w="4647" w:type="dxa"/>
          </w:tcPr>
          <w:p w14:paraId="5AF5FD1F" w14:textId="77777777" w:rsidR="00130D6C" w:rsidRPr="001C2E23" w:rsidRDefault="00130D6C" w:rsidP="00130D6C">
            <w:pPr>
              <w:spacing w:after="0" w:line="240" w:lineRule="auto"/>
              <w:jc w:val="left"/>
              <w:rPr>
                <w:rFonts w:asciiTheme="minorHAnsi" w:hAnsiTheme="minorHAnsi" w:cstheme="minorHAnsi"/>
                <w:sz w:val="22"/>
                <w:lang w:bidi="en-US"/>
              </w:rPr>
            </w:pPr>
          </w:p>
        </w:tc>
      </w:tr>
      <w:tr w:rsidR="00130D6C" w:rsidRPr="001C2E23" w14:paraId="392A7966" w14:textId="77777777" w:rsidTr="001C2E23">
        <w:trPr>
          <w:trHeight w:val="288"/>
        </w:trPr>
        <w:tc>
          <w:tcPr>
            <w:tcW w:w="4683" w:type="dxa"/>
          </w:tcPr>
          <w:p w14:paraId="54605189"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 xml:space="preserve">Advanced Lead/Acid Battery </w:t>
            </w:r>
          </w:p>
        </w:tc>
        <w:tc>
          <w:tcPr>
            <w:tcW w:w="4647" w:type="dxa"/>
          </w:tcPr>
          <w:p w14:paraId="0E24E9D0" w14:textId="77777777" w:rsidR="00130D6C" w:rsidRPr="001C2E23" w:rsidRDefault="00130D6C" w:rsidP="00130D6C">
            <w:pPr>
              <w:spacing w:after="0" w:line="240" w:lineRule="auto"/>
              <w:jc w:val="left"/>
              <w:rPr>
                <w:rFonts w:asciiTheme="minorHAnsi" w:hAnsiTheme="minorHAnsi" w:cstheme="minorHAnsi"/>
                <w:sz w:val="22"/>
                <w:lang w:bidi="en-US"/>
              </w:rPr>
            </w:pPr>
          </w:p>
        </w:tc>
      </w:tr>
      <w:tr w:rsidR="00130D6C" w:rsidRPr="001C2E23" w14:paraId="23132301" w14:textId="77777777" w:rsidTr="001C2E23">
        <w:trPr>
          <w:trHeight w:val="288"/>
        </w:trPr>
        <w:tc>
          <w:tcPr>
            <w:tcW w:w="4683" w:type="dxa"/>
          </w:tcPr>
          <w:p w14:paraId="2D8017AC" w14:textId="77777777"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lang w:bidi="en-US"/>
              </w:rPr>
              <w:t>Flow Batteries</w:t>
            </w:r>
            <w:r w:rsidRPr="001C2E23">
              <w:rPr>
                <w:rFonts w:asciiTheme="minorHAnsi" w:hAnsiTheme="minorHAnsi" w:cstheme="minorHAnsi"/>
                <w:sz w:val="22"/>
              </w:rPr>
              <w:t xml:space="preserve"> </w:t>
            </w:r>
          </w:p>
        </w:tc>
        <w:tc>
          <w:tcPr>
            <w:tcW w:w="4647" w:type="dxa"/>
          </w:tcPr>
          <w:p w14:paraId="2618DE41" w14:textId="77777777" w:rsidR="00130D6C" w:rsidRPr="001C2E23" w:rsidRDefault="00130D6C" w:rsidP="00130D6C">
            <w:pPr>
              <w:spacing w:after="0" w:line="240" w:lineRule="auto"/>
              <w:jc w:val="left"/>
              <w:rPr>
                <w:rFonts w:asciiTheme="minorHAnsi" w:hAnsiTheme="minorHAnsi" w:cstheme="minorHAnsi"/>
                <w:sz w:val="22"/>
                <w:lang w:bidi="en-US"/>
              </w:rPr>
            </w:pPr>
          </w:p>
        </w:tc>
      </w:tr>
      <w:tr w:rsidR="00130D6C" w:rsidRPr="001C2E23" w14:paraId="17F1774B" w14:textId="77777777" w:rsidTr="001C2E23">
        <w:trPr>
          <w:trHeight w:val="288"/>
        </w:trPr>
        <w:tc>
          <w:tcPr>
            <w:tcW w:w="4683" w:type="dxa"/>
          </w:tcPr>
          <w:p w14:paraId="3032AA77" w14:textId="6F19D1FE" w:rsidR="00130D6C" w:rsidRPr="001C2E23" w:rsidRDefault="00130D6C" w:rsidP="00130D6C">
            <w:pPr>
              <w:spacing w:after="0" w:line="240" w:lineRule="auto"/>
              <w:jc w:val="left"/>
              <w:rPr>
                <w:rFonts w:asciiTheme="minorHAnsi" w:hAnsiTheme="minorHAnsi" w:cstheme="minorHAnsi"/>
                <w:sz w:val="22"/>
                <w:lang w:bidi="en-US"/>
              </w:rPr>
            </w:pPr>
            <w:r w:rsidRPr="001C2E23">
              <w:rPr>
                <w:rFonts w:asciiTheme="minorHAnsi" w:hAnsiTheme="minorHAnsi" w:cstheme="minorHAnsi"/>
                <w:sz w:val="22"/>
              </w:rPr>
              <w:t>Lithium</w:t>
            </w:r>
            <w:r w:rsidR="00266FFB">
              <w:rPr>
                <w:rFonts w:asciiTheme="minorHAnsi" w:hAnsiTheme="minorHAnsi" w:cstheme="minorHAnsi"/>
                <w:sz w:val="22"/>
              </w:rPr>
              <w:t>-</w:t>
            </w:r>
            <w:r w:rsidRPr="001C2E23">
              <w:rPr>
                <w:rFonts w:asciiTheme="minorHAnsi" w:hAnsiTheme="minorHAnsi" w:cstheme="minorHAnsi"/>
                <w:sz w:val="22"/>
              </w:rPr>
              <w:t>Ion based Batteries</w:t>
            </w:r>
          </w:p>
        </w:tc>
        <w:tc>
          <w:tcPr>
            <w:tcW w:w="4647" w:type="dxa"/>
          </w:tcPr>
          <w:p w14:paraId="22C26D8D" w14:textId="77777777" w:rsidR="00130D6C" w:rsidRPr="001C2E23" w:rsidRDefault="00130D6C" w:rsidP="00130D6C">
            <w:pPr>
              <w:spacing w:after="0" w:line="240" w:lineRule="auto"/>
              <w:jc w:val="left"/>
              <w:rPr>
                <w:rFonts w:asciiTheme="minorHAnsi" w:hAnsiTheme="minorHAnsi" w:cstheme="minorHAnsi"/>
                <w:sz w:val="22"/>
                <w:lang w:bidi="en-US"/>
              </w:rPr>
            </w:pPr>
          </w:p>
        </w:tc>
      </w:tr>
      <w:tr w:rsidR="00130D6C" w:rsidRPr="001C2E23" w14:paraId="6049520C" w14:textId="77777777" w:rsidTr="001C2E23">
        <w:trPr>
          <w:trHeight w:val="288"/>
        </w:trPr>
        <w:tc>
          <w:tcPr>
            <w:tcW w:w="4683" w:type="dxa"/>
          </w:tcPr>
          <w:p w14:paraId="257A2D26" w14:textId="77777777" w:rsidR="00130D6C" w:rsidRPr="001C2E23" w:rsidDel="004B69B1" w:rsidRDefault="00130D6C" w:rsidP="00130D6C">
            <w:pPr>
              <w:spacing w:after="0" w:line="240" w:lineRule="auto"/>
              <w:jc w:val="left"/>
              <w:rPr>
                <w:rFonts w:asciiTheme="minorHAnsi" w:hAnsiTheme="minorHAnsi" w:cstheme="minorHAnsi"/>
                <w:sz w:val="22"/>
              </w:rPr>
            </w:pPr>
            <w:r w:rsidRPr="001C2E23">
              <w:rPr>
                <w:rFonts w:asciiTheme="minorHAnsi" w:hAnsiTheme="minorHAnsi" w:cstheme="minorHAnsi"/>
                <w:sz w:val="22"/>
              </w:rPr>
              <w:t>Flywheel Energy Storage</w:t>
            </w:r>
          </w:p>
        </w:tc>
        <w:tc>
          <w:tcPr>
            <w:tcW w:w="4647" w:type="dxa"/>
          </w:tcPr>
          <w:p w14:paraId="5B22C76C" w14:textId="77777777" w:rsidR="00130D6C" w:rsidRPr="001C2E23" w:rsidRDefault="00130D6C" w:rsidP="00F91FD3">
            <w:pPr>
              <w:keepNext/>
              <w:spacing w:after="0" w:line="240" w:lineRule="auto"/>
              <w:jc w:val="left"/>
              <w:rPr>
                <w:rFonts w:asciiTheme="minorHAnsi" w:hAnsiTheme="minorHAnsi" w:cstheme="minorHAnsi"/>
                <w:sz w:val="22"/>
                <w:lang w:bidi="en-US"/>
              </w:rPr>
            </w:pPr>
          </w:p>
        </w:tc>
      </w:tr>
    </w:tbl>
    <w:p w14:paraId="6C80A49C" w14:textId="77777777" w:rsidR="00266FFB" w:rsidRDefault="00266FFB">
      <w:pPr>
        <w:spacing w:after="160" w:line="259" w:lineRule="auto"/>
        <w:jc w:val="left"/>
      </w:pPr>
      <w:bookmarkStart w:id="257" w:name="_Ref534383329"/>
      <w:r>
        <w:br w:type="page"/>
      </w:r>
    </w:p>
    <w:p w14:paraId="035E2AF1" w14:textId="12AFAE91" w:rsidR="00266FFB" w:rsidRPr="00450DAD" w:rsidRDefault="00974B51" w:rsidP="00266FFB">
      <w:pPr>
        <w:rPr>
          <w:rFonts w:cs="Arial"/>
        </w:rPr>
      </w:pPr>
      <w:r>
        <w:rPr>
          <w:rFonts w:cs="Arial"/>
        </w:rPr>
        <w:fldChar w:fldCharType="begin"/>
      </w:r>
      <w:r>
        <w:rPr>
          <w:rFonts w:cs="Arial"/>
        </w:rPr>
        <w:instrText xml:space="preserve"> REF _Ref535404130 \h </w:instrText>
      </w:r>
      <w:r>
        <w:rPr>
          <w:rFonts w:cs="Arial"/>
        </w:rPr>
      </w:r>
      <w:r>
        <w:rPr>
          <w:rFonts w:cs="Arial"/>
        </w:rPr>
        <w:fldChar w:fldCharType="separate"/>
      </w:r>
      <w:r w:rsidR="00F33DA2">
        <w:t>Table B-</w:t>
      </w:r>
      <w:r w:rsidR="00F33DA2">
        <w:rPr>
          <w:noProof/>
        </w:rPr>
        <w:t>2</w:t>
      </w:r>
      <w:r>
        <w:rPr>
          <w:rFonts w:cs="Arial"/>
        </w:rPr>
        <w:fldChar w:fldCharType="end"/>
      </w:r>
      <w:r>
        <w:rPr>
          <w:rFonts w:cs="Arial"/>
        </w:rPr>
        <w:t xml:space="preserve"> </w:t>
      </w:r>
      <w:r w:rsidR="00266FFB" w:rsidRPr="00450DAD">
        <w:rPr>
          <w:rFonts w:cs="Arial"/>
        </w:rPr>
        <w:t>lists the technologies that were evaluated in the initial screening process along with a summary of why they were or were not retained for further analysis.</w:t>
      </w:r>
    </w:p>
    <w:p w14:paraId="3E0F3160" w14:textId="337F6EF9" w:rsidR="00471F21" w:rsidRDefault="00471F21" w:rsidP="00471F21">
      <w:pPr>
        <w:pStyle w:val="Caption"/>
        <w:keepNext/>
        <w:jc w:val="center"/>
      </w:pPr>
      <w:bookmarkStart w:id="258" w:name="_Ref535404130"/>
      <w:r>
        <w:t xml:space="preserve">Table </w:t>
      </w:r>
      <w:r w:rsidR="00FB3B8F">
        <w:t>B-</w:t>
      </w:r>
      <w:r w:rsidR="00FA0526">
        <w:rPr>
          <w:noProof/>
        </w:rPr>
        <w:fldChar w:fldCharType="begin"/>
      </w:r>
      <w:r w:rsidR="00FA0526">
        <w:rPr>
          <w:noProof/>
        </w:rPr>
        <w:instrText xml:space="preserve"> SEQ Table \* ARABIC </w:instrText>
      </w:r>
      <w:r w:rsidR="00FA0526">
        <w:rPr>
          <w:noProof/>
        </w:rPr>
        <w:fldChar w:fldCharType="separate"/>
      </w:r>
      <w:r w:rsidR="00F33DA2">
        <w:rPr>
          <w:noProof/>
        </w:rPr>
        <w:t>2</w:t>
      </w:r>
      <w:r w:rsidR="00FA0526">
        <w:rPr>
          <w:noProof/>
        </w:rPr>
        <w:fldChar w:fldCharType="end"/>
      </w:r>
      <w:bookmarkEnd w:id="257"/>
      <w:bookmarkEnd w:id="258"/>
      <w:r w:rsidR="00FB3B8F">
        <w:t>:</w:t>
      </w:r>
      <w:r w:rsidRPr="00981655">
        <w:t xml:space="preserve"> Preliminary Screening </w:t>
      </w:r>
      <w:r w:rsidR="004E5D62">
        <w:t>Results</w:t>
      </w:r>
      <w:r w:rsidRPr="00981655">
        <w:t xml:space="preserve"> (detailed)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4185"/>
        <w:gridCol w:w="2478"/>
      </w:tblGrid>
      <w:tr w:rsidR="00130D6C" w:rsidRPr="005D4912" w14:paraId="4FE3996D" w14:textId="77777777" w:rsidTr="00130D6C">
        <w:trPr>
          <w:cantSplit/>
          <w:trHeight w:val="405"/>
          <w:tblHeader/>
        </w:trPr>
        <w:tc>
          <w:tcPr>
            <w:tcW w:w="1437" w:type="pct"/>
            <w:shd w:val="clear" w:color="auto" w:fill="auto"/>
            <w:vAlign w:val="center"/>
            <w:hideMark/>
          </w:tcPr>
          <w:p w14:paraId="04930A57"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Technology</w:t>
            </w:r>
          </w:p>
        </w:tc>
        <w:tc>
          <w:tcPr>
            <w:tcW w:w="2238" w:type="pct"/>
            <w:shd w:val="clear" w:color="auto" w:fill="auto"/>
            <w:vAlign w:val="center"/>
            <w:hideMark/>
          </w:tcPr>
          <w:p w14:paraId="180061C8"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Description</w:t>
            </w:r>
          </w:p>
        </w:tc>
        <w:tc>
          <w:tcPr>
            <w:tcW w:w="1325" w:type="pct"/>
            <w:shd w:val="clear" w:color="auto" w:fill="auto"/>
            <w:vAlign w:val="center"/>
            <w:hideMark/>
          </w:tcPr>
          <w:p w14:paraId="61B3F5A5"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Status</w:t>
            </w:r>
          </w:p>
        </w:tc>
      </w:tr>
      <w:tr w:rsidR="00130D6C" w:rsidRPr="005D4912" w14:paraId="41F166DB" w14:textId="77777777" w:rsidTr="00130D6C">
        <w:trPr>
          <w:cantSplit/>
          <w:trHeight w:val="975"/>
        </w:trPr>
        <w:tc>
          <w:tcPr>
            <w:tcW w:w="1437" w:type="pct"/>
            <w:shd w:val="clear" w:color="auto" w:fill="auto"/>
            <w:vAlign w:val="center"/>
            <w:hideMark/>
          </w:tcPr>
          <w:p w14:paraId="6981C64F" w14:textId="77777777" w:rsidR="00130D6C" w:rsidRPr="005D4912" w:rsidRDefault="00130D6C" w:rsidP="00130D6C">
            <w:pPr>
              <w:spacing w:after="0" w:line="240" w:lineRule="auto"/>
              <w:jc w:val="left"/>
              <w:rPr>
                <w:rFonts w:eastAsia="Times New Roman" w:cs="Arial"/>
              </w:rPr>
            </w:pPr>
            <w:r w:rsidRPr="005D4912">
              <w:rPr>
                <w:rFonts w:eastAsia="Times New Roman" w:cs="Arial"/>
              </w:rPr>
              <w:t>1. Subcritical Pulverized Coal (Conventional Pulverized Coal)</w:t>
            </w:r>
          </w:p>
        </w:tc>
        <w:tc>
          <w:tcPr>
            <w:tcW w:w="2238" w:type="pct"/>
            <w:shd w:val="clear" w:color="auto" w:fill="auto"/>
            <w:vAlign w:val="center"/>
            <w:hideMark/>
          </w:tcPr>
          <w:p w14:paraId="32A1AB21" w14:textId="66523470" w:rsidR="00130D6C" w:rsidRPr="005D4912" w:rsidRDefault="00130D6C" w:rsidP="00130D6C">
            <w:pPr>
              <w:spacing w:after="0" w:line="240" w:lineRule="auto"/>
              <w:jc w:val="left"/>
              <w:rPr>
                <w:rFonts w:eastAsia="Times New Roman" w:cs="Arial"/>
              </w:rPr>
            </w:pPr>
            <w:r w:rsidRPr="005D4912">
              <w:rPr>
                <w:rFonts w:eastAsia="Times New Roman" w:cs="Arial"/>
              </w:rPr>
              <w:t xml:space="preserve">This technology is mature with a large number of units on the </w:t>
            </w:r>
            <w:r w:rsidR="00643CE8">
              <w:rPr>
                <w:rFonts w:eastAsia="Times New Roman" w:cs="Arial"/>
              </w:rPr>
              <w:t>S</w:t>
            </w:r>
            <w:r w:rsidRPr="005D4912">
              <w:rPr>
                <w:rFonts w:eastAsia="Times New Roman" w:cs="Arial"/>
              </w:rPr>
              <w:t>ystem</w:t>
            </w:r>
            <w:r w:rsidR="00680AEE">
              <w:rPr>
                <w:rFonts w:eastAsia="Times New Roman" w:cs="Arial"/>
              </w:rPr>
              <w:t xml:space="preserve">. </w:t>
            </w:r>
            <w:r w:rsidRPr="005D4912">
              <w:rPr>
                <w:rFonts w:eastAsia="Times New Roman" w:cs="Arial"/>
              </w:rPr>
              <w:t>New units would include the latest emission control systems to ensure compliance with all applicable environmental regulations and permit requirements.</w:t>
            </w:r>
          </w:p>
        </w:tc>
        <w:tc>
          <w:tcPr>
            <w:tcW w:w="1325" w:type="pct"/>
            <w:shd w:val="clear" w:color="auto" w:fill="auto"/>
            <w:vAlign w:val="center"/>
            <w:hideMark/>
          </w:tcPr>
          <w:p w14:paraId="7F2ED013" w14:textId="3C0644C1" w:rsidR="00130D6C" w:rsidRPr="005D4912" w:rsidRDefault="00130D6C" w:rsidP="00130D6C">
            <w:pPr>
              <w:spacing w:after="0" w:line="240" w:lineRule="auto"/>
              <w:jc w:val="left"/>
              <w:rPr>
                <w:rFonts w:eastAsia="Times New Roman" w:cs="Arial"/>
                <w:b/>
                <w:bCs/>
              </w:rPr>
            </w:pPr>
            <w:r>
              <w:rPr>
                <w:rFonts w:eastAsia="Times New Roman" w:cs="Arial"/>
                <w:b/>
                <w:bCs/>
              </w:rPr>
              <w:t>NOT RETAINED</w:t>
            </w:r>
            <w:r w:rsidRPr="005D4912">
              <w:rPr>
                <w:rFonts w:eastAsia="Times New Roman" w:cs="Arial"/>
              </w:rPr>
              <w:t xml:space="preserve"> for further screening</w:t>
            </w:r>
            <w:r>
              <w:rPr>
                <w:rFonts w:eastAsia="Times New Roman" w:cs="Arial"/>
              </w:rPr>
              <w:t xml:space="preserve"> at this time due to economic reasons, current environmental requirements for new deployments, and future environmental uncertainty</w:t>
            </w:r>
            <w:r w:rsidRPr="005D4912">
              <w:rPr>
                <w:rFonts w:eastAsia="Times New Roman" w:cs="Arial"/>
              </w:rPr>
              <w:t>.</w:t>
            </w:r>
          </w:p>
        </w:tc>
      </w:tr>
      <w:tr w:rsidR="00130D6C" w:rsidRPr="005D4912" w14:paraId="0D080DE1" w14:textId="77777777" w:rsidTr="00130D6C">
        <w:trPr>
          <w:cantSplit/>
          <w:trHeight w:val="645"/>
        </w:trPr>
        <w:tc>
          <w:tcPr>
            <w:tcW w:w="1437" w:type="pct"/>
            <w:shd w:val="clear" w:color="auto" w:fill="auto"/>
            <w:vAlign w:val="center"/>
            <w:hideMark/>
          </w:tcPr>
          <w:p w14:paraId="6503C66F" w14:textId="77777777" w:rsidR="00130D6C" w:rsidRPr="005D4912" w:rsidRDefault="00130D6C" w:rsidP="00130D6C">
            <w:pPr>
              <w:spacing w:after="0" w:line="240" w:lineRule="auto"/>
              <w:jc w:val="left"/>
              <w:rPr>
                <w:rFonts w:eastAsia="Times New Roman" w:cs="Arial"/>
              </w:rPr>
            </w:pPr>
            <w:r w:rsidRPr="005D4912">
              <w:rPr>
                <w:rFonts w:eastAsia="Times New Roman" w:cs="Arial"/>
              </w:rPr>
              <w:t>2. Supercritical Pulverized Coal</w:t>
            </w:r>
          </w:p>
        </w:tc>
        <w:tc>
          <w:tcPr>
            <w:tcW w:w="2238" w:type="pct"/>
            <w:shd w:val="clear" w:color="auto" w:fill="auto"/>
            <w:vAlign w:val="center"/>
            <w:hideMark/>
          </w:tcPr>
          <w:p w14:paraId="5CE07939" w14:textId="7AB2A5D8" w:rsidR="00130D6C" w:rsidRPr="005D4912" w:rsidRDefault="00130D6C" w:rsidP="00130D6C">
            <w:pPr>
              <w:spacing w:after="0" w:line="240" w:lineRule="auto"/>
              <w:jc w:val="left"/>
              <w:rPr>
                <w:rFonts w:eastAsia="Times New Roman" w:cs="Arial"/>
              </w:rPr>
            </w:pPr>
            <w:r w:rsidRPr="005D4912">
              <w:rPr>
                <w:rFonts w:eastAsia="Times New Roman" w:cs="Arial"/>
              </w:rPr>
              <w:t xml:space="preserve">This technology is mature with several units on the </w:t>
            </w:r>
            <w:r w:rsidR="00643CE8">
              <w:rPr>
                <w:rFonts w:eastAsia="Times New Roman" w:cs="Arial"/>
              </w:rPr>
              <w:t>S</w:t>
            </w:r>
            <w:r w:rsidRPr="005D4912">
              <w:rPr>
                <w:rFonts w:eastAsia="Times New Roman" w:cs="Arial"/>
              </w:rPr>
              <w:t>ystem</w:t>
            </w:r>
            <w:r w:rsidR="00680AEE">
              <w:rPr>
                <w:rFonts w:eastAsia="Times New Roman" w:cs="Arial"/>
              </w:rPr>
              <w:t xml:space="preserve">. </w:t>
            </w:r>
            <w:r w:rsidRPr="005D4912">
              <w:rPr>
                <w:rFonts w:eastAsia="Times New Roman" w:cs="Arial"/>
              </w:rPr>
              <w:t>Environmental performance would be similar to subcritical pulverized coal.</w:t>
            </w:r>
          </w:p>
        </w:tc>
        <w:tc>
          <w:tcPr>
            <w:tcW w:w="1325" w:type="pct"/>
            <w:shd w:val="clear" w:color="auto" w:fill="auto"/>
            <w:vAlign w:val="center"/>
            <w:hideMark/>
          </w:tcPr>
          <w:p w14:paraId="2A9764F0" w14:textId="28BE62B2" w:rsidR="00130D6C" w:rsidRPr="005D4912" w:rsidRDefault="00130D6C" w:rsidP="00130D6C">
            <w:pPr>
              <w:spacing w:after="0" w:line="240" w:lineRule="auto"/>
              <w:jc w:val="left"/>
              <w:rPr>
                <w:rFonts w:eastAsia="Times New Roman" w:cs="Arial"/>
                <w:b/>
                <w:bCs/>
              </w:rPr>
            </w:pPr>
            <w:r>
              <w:rPr>
                <w:rFonts w:eastAsia="Times New Roman" w:cs="Arial"/>
                <w:b/>
                <w:bCs/>
              </w:rPr>
              <w:t>NOT RETAINED</w:t>
            </w:r>
            <w:r w:rsidRPr="005D4912">
              <w:rPr>
                <w:rFonts w:eastAsia="Times New Roman" w:cs="Arial"/>
              </w:rPr>
              <w:t xml:space="preserve"> for further screening</w:t>
            </w:r>
            <w:r>
              <w:rPr>
                <w:rFonts w:eastAsia="Times New Roman" w:cs="Arial"/>
              </w:rPr>
              <w:t xml:space="preserve"> at this time due to economic reasons, current environmental requirements for new deployments, and future environmental uncertainty</w:t>
            </w:r>
            <w:r w:rsidRPr="005D4912">
              <w:rPr>
                <w:rFonts w:eastAsia="Times New Roman" w:cs="Arial"/>
              </w:rPr>
              <w:t>.</w:t>
            </w:r>
          </w:p>
        </w:tc>
      </w:tr>
      <w:tr w:rsidR="00130D6C" w:rsidRPr="005D4912" w14:paraId="571C6564" w14:textId="77777777" w:rsidTr="00130D6C">
        <w:trPr>
          <w:cantSplit/>
          <w:trHeight w:val="2850"/>
        </w:trPr>
        <w:tc>
          <w:tcPr>
            <w:tcW w:w="1437" w:type="pct"/>
            <w:shd w:val="clear" w:color="auto" w:fill="auto"/>
            <w:vAlign w:val="center"/>
            <w:hideMark/>
          </w:tcPr>
          <w:p w14:paraId="0909172E" w14:textId="77777777" w:rsidR="00130D6C" w:rsidRPr="005D4912" w:rsidRDefault="00130D6C" w:rsidP="00130D6C">
            <w:pPr>
              <w:spacing w:after="0" w:line="240" w:lineRule="auto"/>
              <w:jc w:val="left"/>
              <w:rPr>
                <w:rFonts w:eastAsia="Times New Roman" w:cs="Arial"/>
              </w:rPr>
            </w:pPr>
            <w:r w:rsidRPr="005D4912">
              <w:rPr>
                <w:rFonts w:eastAsia="Times New Roman" w:cs="Arial"/>
              </w:rPr>
              <w:t>3. Ultrasupercritical Pulverized Coal (“USC”)</w:t>
            </w:r>
          </w:p>
        </w:tc>
        <w:tc>
          <w:tcPr>
            <w:tcW w:w="2238" w:type="pct"/>
            <w:shd w:val="clear" w:color="auto" w:fill="auto"/>
            <w:vAlign w:val="center"/>
            <w:hideMark/>
          </w:tcPr>
          <w:p w14:paraId="3CCAFA28" w14:textId="480916F7" w:rsidR="00130D6C" w:rsidRPr="005D4912" w:rsidRDefault="00130D6C" w:rsidP="00130D6C">
            <w:pPr>
              <w:spacing w:after="0" w:line="240" w:lineRule="auto"/>
              <w:jc w:val="left"/>
              <w:rPr>
                <w:rFonts w:eastAsia="Times New Roman" w:cs="Arial"/>
              </w:rPr>
            </w:pPr>
            <w:r w:rsidRPr="005D4912">
              <w:rPr>
                <w:rFonts w:eastAsia="Times New Roman" w:cs="Arial"/>
              </w:rPr>
              <w:t xml:space="preserve">This technology involves the evolution of coal-fueled generation to </w:t>
            </w:r>
            <w:r>
              <w:rPr>
                <w:rFonts w:eastAsia="Times New Roman" w:cs="Arial"/>
              </w:rPr>
              <w:t xml:space="preserve">produce </w:t>
            </w:r>
            <w:r w:rsidRPr="005D4912">
              <w:rPr>
                <w:rFonts w:eastAsia="Times New Roman" w:cs="Arial"/>
              </w:rPr>
              <w:t>slightly higher steam pressures and temperatures to attain higher thermal efficiency</w:t>
            </w:r>
            <w:r w:rsidR="00680AEE">
              <w:rPr>
                <w:rFonts w:eastAsia="Times New Roman" w:cs="Arial"/>
              </w:rPr>
              <w:t xml:space="preserve">. </w:t>
            </w:r>
            <w:r w:rsidRPr="005D4912">
              <w:rPr>
                <w:rFonts w:eastAsia="Times New Roman" w:cs="Arial"/>
              </w:rPr>
              <w:t>It also includes design for flexible operation, including the maintenance of higher efficiencies at partial loads</w:t>
            </w:r>
            <w:r w:rsidR="00680AEE">
              <w:rPr>
                <w:rFonts w:eastAsia="Times New Roman" w:cs="Arial"/>
              </w:rPr>
              <w:t xml:space="preserve">. </w:t>
            </w:r>
            <w:r w:rsidRPr="005D4912">
              <w:rPr>
                <w:rFonts w:eastAsia="Times New Roman" w:cs="Arial"/>
              </w:rPr>
              <w:t xml:space="preserve">Many of these advanced features will gradually be incorporated into new base load coal-fueled capacity as they are made available through </w:t>
            </w:r>
            <w:r w:rsidR="007136B4">
              <w:rPr>
                <w:rFonts w:eastAsia="Times New Roman" w:cs="Arial"/>
              </w:rPr>
              <w:t>US</w:t>
            </w:r>
            <w:r w:rsidRPr="005D4912">
              <w:rPr>
                <w:rFonts w:eastAsia="Times New Roman" w:cs="Arial"/>
              </w:rPr>
              <w:t xml:space="preserve"> and international research efforts</w:t>
            </w:r>
            <w:r w:rsidR="00680AEE">
              <w:rPr>
                <w:rFonts w:eastAsia="Times New Roman" w:cs="Arial"/>
              </w:rPr>
              <w:t xml:space="preserve">. </w:t>
            </w:r>
            <w:r w:rsidRPr="005D4912">
              <w:rPr>
                <w:rFonts w:eastAsia="Times New Roman" w:cs="Arial"/>
              </w:rPr>
              <w:t>The environmental performance would be similar to subcritical pulverized coal</w:t>
            </w:r>
            <w:r w:rsidR="00680AEE">
              <w:rPr>
                <w:rFonts w:eastAsia="Times New Roman" w:cs="Arial"/>
              </w:rPr>
              <w:t xml:space="preserve">. </w:t>
            </w:r>
            <w:r w:rsidRPr="005D4912">
              <w:rPr>
                <w:rFonts w:eastAsia="Times New Roman" w:cs="Arial"/>
              </w:rPr>
              <w:t>Material capabilities limit the practical design of this unit, though currently there are operating designs that exceed supercritical limits (main steam conditions around 3600psia and 1100F).</w:t>
            </w:r>
          </w:p>
        </w:tc>
        <w:tc>
          <w:tcPr>
            <w:tcW w:w="1325" w:type="pct"/>
            <w:shd w:val="clear" w:color="auto" w:fill="auto"/>
            <w:vAlign w:val="center"/>
            <w:hideMark/>
          </w:tcPr>
          <w:p w14:paraId="51EB9E15" w14:textId="14F50C35" w:rsidR="00130D6C" w:rsidRPr="005D4912" w:rsidRDefault="00130D6C" w:rsidP="00130D6C">
            <w:pPr>
              <w:spacing w:after="0" w:line="240" w:lineRule="auto"/>
              <w:jc w:val="left"/>
              <w:rPr>
                <w:rFonts w:eastAsia="Times New Roman" w:cs="Arial"/>
                <w:b/>
                <w:bCs/>
              </w:rPr>
            </w:pPr>
            <w:r>
              <w:rPr>
                <w:rFonts w:eastAsia="Times New Roman" w:cs="Arial"/>
                <w:b/>
                <w:bCs/>
              </w:rPr>
              <w:t>NOT RETAINED</w:t>
            </w:r>
            <w:r w:rsidRPr="005D4912">
              <w:rPr>
                <w:rFonts w:eastAsia="Times New Roman" w:cs="Arial"/>
              </w:rPr>
              <w:t xml:space="preserve"> for further screening</w:t>
            </w:r>
            <w:r>
              <w:rPr>
                <w:rFonts w:eastAsia="Times New Roman" w:cs="Arial"/>
              </w:rPr>
              <w:t xml:space="preserve"> at this time due to economic reasons, current environmental requirements for new deployments, and future environmental uncertainty</w:t>
            </w:r>
            <w:r w:rsidRPr="005D4912">
              <w:rPr>
                <w:rFonts w:eastAsia="Times New Roman" w:cs="Arial"/>
              </w:rPr>
              <w:t>.</w:t>
            </w:r>
          </w:p>
        </w:tc>
      </w:tr>
      <w:tr w:rsidR="00130D6C" w:rsidRPr="005D4912" w14:paraId="4FB5964C" w14:textId="77777777" w:rsidTr="00130D6C">
        <w:trPr>
          <w:cantSplit/>
          <w:trHeight w:val="2220"/>
        </w:trPr>
        <w:tc>
          <w:tcPr>
            <w:tcW w:w="1437" w:type="pct"/>
            <w:shd w:val="clear" w:color="auto" w:fill="auto"/>
            <w:vAlign w:val="center"/>
            <w:hideMark/>
          </w:tcPr>
          <w:p w14:paraId="776A9E64" w14:textId="77777777" w:rsidR="00130D6C" w:rsidRPr="005D4912" w:rsidRDefault="00130D6C" w:rsidP="00130D6C">
            <w:pPr>
              <w:spacing w:after="0" w:line="240" w:lineRule="auto"/>
              <w:jc w:val="left"/>
              <w:rPr>
                <w:rFonts w:eastAsia="Times New Roman" w:cs="Arial"/>
              </w:rPr>
            </w:pPr>
            <w:r w:rsidRPr="005D4912">
              <w:rPr>
                <w:rFonts w:eastAsia="Times New Roman" w:cs="Arial"/>
              </w:rPr>
              <w:t>4. Advanced Ultrasupercritical Pulverized Coal (“AUSC”)</w:t>
            </w:r>
          </w:p>
        </w:tc>
        <w:tc>
          <w:tcPr>
            <w:tcW w:w="2238" w:type="pct"/>
            <w:shd w:val="clear" w:color="auto" w:fill="auto"/>
            <w:vAlign w:val="center"/>
            <w:hideMark/>
          </w:tcPr>
          <w:p w14:paraId="504B6634" w14:textId="4E280927" w:rsidR="00130D6C" w:rsidRPr="005D4912" w:rsidRDefault="00130D6C" w:rsidP="00130D6C">
            <w:pPr>
              <w:spacing w:after="0" w:line="240" w:lineRule="auto"/>
              <w:jc w:val="left"/>
              <w:rPr>
                <w:rFonts w:eastAsia="Times New Roman" w:cs="Arial"/>
              </w:rPr>
            </w:pPr>
            <w:r w:rsidRPr="005D4912">
              <w:rPr>
                <w:rFonts w:eastAsia="Times New Roman" w:cs="Arial"/>
              </w:rPr>
              <w:t xml:space="preserve">This technology represents the targeted design of current </w:t>
            </w:r>
            <w:r w:rsidR="007136B4">
              <w:rPr>
                <w:rFonts w:eastAsia="Times New Roman" w:cs="Arial"/>
              </w:rPr>
              <w:t>US</w:t>
            </w:r>
            <w:r w:rsidR="00991BED">
              <w:rPr>
                <w:rFonts w:eastAsia="Times New Roman" w:cs="Arial"/>
              </w:rPr>
              <w:t xml:space="preserve"> </w:t>
            </w:r>
            <w:r w:rsidRPr="005D4912">
              <w:rPr>
                <w:rFonts w:eastAsia="Times New Roman" w:cs="Arial"/>
              </w:rPr>
              <w:t>and international AUSC research and embodies coal-fueled generation to steam conditions higher than that achieved by existing ultrasupercritical pulverized coal technology for even higher thermal efficiency (steam conditions approaching 5000psia and 1400F)</w:t>
            </w:r>
            <w:r w:rsidR="00680AEE">
              <w:rPr>
                <w:rFonts w:eastAsia="Times New Roman" w:cs="Arial"/>
              </w:rPr>
              <w:t xml:space="preserve">. </w:t>
            </w:r>
            <w:r w:rsidRPr="005D4912">
              <w:rPr>
                <w:rFonts w:eastAsia="Times New Roman" w:cs="Arial"/>
              </w:rPr>
              <w:t>The environmental performance would be similar to, though slightly better than, subcritical</w:t>
            </w:r>
            <w:r w:rsidR="00EA6B68">
              <w:rPr>
                <w:rFonts w:eastAsia="Times New Roman" w:cs="Arial"/>
              </w:rPr>
              <w:t xml:space="preserve"> or</w:t>
            </w:r>
            <w:r w:rsidRPr="005D4912">
              <w:rPr>
                <w:rFonts w:eastAsia="Times New Roman" w:cs="Arial"/>
              </w:rPr>
              <w:t xml:space="preserve"> supercritical pulverized coal due to efficiency gains</w:t>
            </w:r>
            <w:r w:rsidR="00680AEE">
              <w:rPr>
                <w:rFonts w:eastAsia="Times New Roman" w:cs="Arial"/>
              </w:rPr>
              <w:t xml:space="preserve">. </w:t>
            </w:r>
            <w:r w:rsidRPr="005D4912">
              <w:rPr>
                <w:rFonts w:eastAsia="Times New Roman" w:cs="Arial"/>
              </w:rPr>
              <w:t>This technology is nearing demonstration phases but requires more materials development to be completed.</w:t>
            </w:r>
          </w:p>
        </w:tc>
        <w:tc>
          <w:tcPr>
            <w:tcW w:w="1325" w:type="pct"/>
            <w:shd w:val="clear" w:color="auto" w:fill="auto"/>
            <w:vAlign w:val="center"/>
            <w:hideMark/>
          </w:tcPr>
          <w:p w14:paraId="779CA6BD"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current level of development</w:t>
            </w:r>
            <w:r>
              <w:rPr>
                <w:rFonts w:eastAsia="Times New Roman" w:cs="Arial"/>
                <w:bCs/>
              </w:rPr>
              <w:t xml:space="preserve"> as well as current environmental requirements for new deployments and future environmental uncertainty</w:t>
            </w:r>
            <w:r w:rsidRPr="005D4912">
              <w:rPr>
                <w:rFonts w:eastAsia="Times New Roman" w:cs="Arial"/>
                <w:b/>
                <w:bCs/>
              </w:rPr>
              <w:t>.</w:t>
            </w:r>
          </w:p>
        </w:tc>
      </w:tr>
      <w:tr w:rsidR="00130D6C" w:rsidRPr="005D4912" w14:paraId="69778F80" w14:textId="77777777" w:rsidTr="00130D6C">
        <w:trPr>
          <w:cantSplit/>
          <w:trHeight w:val="1590"/>
        </w:trPr>
        <w:tc>
          <w:tcPr>
            <w:tcW w:w="1437" w:type="pct"/>
            <w:shd w:val="clear" w:color="auto" w:fill="auto"/>
            <w:vAlign w:val="center"/>
            <w:hideMark/>
          </w:tcPr>
          <w:p w14:paraId="0453C259" w14:textId="77777777" w:rsidR="00130D6C" w:rsidRPr="005D4912" w:rsidRDefault="00130D6C" w:rsidP="00130D6C">
            <w:pPr>
              <w:spacing w:after="0" w:line="240" w:lineRule="auto"/>
              <w:jc w:val="left"/>
              <w:rPr>
                <w:rFonts w:eastAsia="Times New Roman" w:cs="Arial"/>
              </w:rPr>
            </w:pPr>
            <w:r w:rsidRPr="005D4912">
              <w:rPr>
                <w:rFonts w:eastAsia="Times New Roman" w:cs="Arial"/>
              </w:rPr>
              <w:t>5. Atmospheric Fluidized Bed Combustion (“AFBC”)</w:t>
            </w:r>
          </w:p>
        </w:tc>
        <w:tc>
          <w:tcPr>
            <w:tcW w:w="2238" w:type="pct"/>
            <w:shd w:val="clear" w:color="auto" w:fill="auto"/>
            <w:vAlign w:val="center"/>
            <w:hideMark/>
          </w:tcPr>
          <w:p w14:paraId="1C53708E" w14:textId="11DEB792" w:rsidR="00130D6C" w:rsidRPr="005D4912" w:rsidRDefault="00130D6C" w:rsidP="00130D6C">
            <w:pPr>
              <w:spacing w:after="0" w:line="240" w:lineRule="auto"/>
              <w:jc w:val="left"/>
              <w:rPr>
                <w:rFonts w:eastAsia="Times New Roman" w:cs="Arial"/>
              </w:rPr>
            </w:pPr>
            <w:r w:rsidRPr="005D4912">
              <w:rPr>
                <w:rFonts w:eastAsia="Times New Roman" w:cs="Arial"/>
              </w:rPr>
              <w:t>AFBC technologies have the potential for sulfur removal without add-on flue gas scrubbers</w:t>
            </w:r>
            <w:r w:rsidR="00680AEE">
              <w:rPr>
                <w:rFonts w:eastAsia="Times New Roman" w:cs="Arial"/>
              </w:rPr>
              <w:t xml:space="preserve">. </w:t>
            </w:r>
            <w:r w:rsidRPr="005D4912">
              <w:rPr>
                <w:rFonts w:eastAsia="Times New Roman" w:cs="Arial"/>
              </w:rPr>
              <w:t>AFBC is currently better suited to industrial cogeneration and is probably the technology of choice for low grade, high ash coals and are typically limited to 300</w:t>
            </w:r>
            <w:r w:rsidR="00667444">
              <w:rPr>
                <w:rFonts w:eastAsia="Times New Roman" w:cs="Arial"/>
              </w:rPr>
              <w:t xml:space="preserve"> </w:t>
            </w:r>
            <w:r w:rsidRPr="005D4912">
              <w:rPr>
                <w:rFonts w:eastAsia="Times New Roman" w:cs="Arial"/>
              </w:rPr>
              <w:t>MW in size</w:t>
            </w:r>
            <w:r w:rsidR="00680AEE">
              <w:rPr>
                <w:rFonts w:eastAsia="Times New Roman" w:cs="Arial"/>
              </w:rPr>
              <w:t xml:space="preserve">. </w:t>
            </w:r>
            <w:r w:rsidRPr="005D4912">
              <w:rPr>
                <w:rFonts w:eastAsia="Times New Roman" w:cs="Arial"/>
              </w:rPr>
              <w:t>When combined with future supercritical materials, AFBC economics may improve.</w:t>
            </w:r>
          </w:p>
        </w:tc>
        <w:tc>
          <w:tcPr>
            <w:tcW w:w="1325" w:type="pct"/>
            <w:shd w:val="clear" w:color="auto" w:fill="auto"/>
            <w:vAlign w:val="center"/>
            <w:hideMark/>
          </w:tcPr>
          <w:p w14:paraId="4811AF1C" w14:textId="3CC8BF6A"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economic reasons</w:t>
            </w:r>
            <w:r>
              <w:rPr>
                <w:rFonts w:eastAsia="Times New Roman" w:cs="Arial"/>
                <w:bCs/>
              </w:rPr>
              <w:t>,</w:t>
            </w:r>
            <w:r>
              <w:rPr>
                <w:rFonts w:eastAsia="Times New Roman" w:cs="Arial"/>
              </w:rPr>
              <w:t xml:space="preserve"> current environmental requirements for new deployments, and future environmental uncertainty</w:t>
            </w:r>
            <w:r w:rsidRPr="005D4912">
              <w:rPr>
                <w:rFonts w:eastAsia="Times New Roman" w:cs="Arial"/>
              </w:rPr>
              <w:t>.</w:t>
            </w:r>
          </w:p>
        </w:tc>
      </w:tr>
      <w:tr w:rsidR="00130D6C" w:rsidRPr="005D4912" w14:paraId="616A902E" w14:textId="77777777" w:rsidTr="00130D6C">
        <w:trPr>
          <w:cantSplit/>
          <w:trHeight w:val="2340"/>
        </w:trPr>
        <w:tc>
          <w:tcPr>
            <w:tcW w:w="1437" w:type="pct"/>
            <w:shd w:val="clear" w:color="auto" w:fill="auto"/>
            <w:vAlign w:val="center"/>
            <w:hideMark/>
          </w:tcPr>
          <w:p w14:paraId="3FFDADA3" w14:textId="329144A8" w:rsidR="00130D6C" w:rsidRPr="005D4912" w:rsidRDefault="00130D6C" w:rsidP="00130D6C">
            <w:pPr>
              <w:spacing w:after="0" w:line="240" w:lineRule="auto"/>
              <w:jc w:val="left"/>
              <w:rPr>
                <w:rFonts w:eastAsia="Times New Roman" w:cs="Arial"/>
              </w:rPr>
            </w:pPr>
            <w:r>
              <w:rPr>
                <w:rFonts w:eastAsia="Times New Roman" w:cs="Arial"/>
              </w:rPr>
              <w:t>6</w:t>
            </w:r>
            <w:r w:rsidRPr="005D4912">
              <w:rPr>
                <w:rFonts w:eastAsia="Times New Roman" w:cs="Arial"/>
              </w:rPr>
              <w:t xml:space="preserve">. Oxygen-Blown Integrated Gasification </w:t>
            </w:r>
            <w:r w:rsidR="00AA7E07">
              <w:rPr>
                <w:rFonts w:eastAsia="Times New Roman" w:cs="Arial"/>
              </w:rPr>
              <w:t>CC</w:t>
            </w:r>
            <w:r w:rsidRPr="005D4912">
              <w:rPr>
                <w:rFonts w:eastAsia="Times New Roman" w:cs="Arial"/>
              </w:rPr>
              <w:t xml:space="preserve"> (“IGCC”)</w:t>
            </w:r>
          </w:p>
        </w:tc>
        <w:tc>
          <w:tcPr>
            <w:tcW w:w="2238" w:type="pct"/>
            <w:shd w:val="clear" w:color="auto" w:fill="auto"/>
            <w:vAlign w:val="center"/>
            <w:hideMark/>
          </w:tcPr>
          <w:p w14:paraId="01FB23F4" w14:textId="4957D476" w:rsidR="00130D6C" w:rsidRPr="005D4912" w:rsidRDefault="00130D6C" w:rsidP="00130D6C">
            <w:pPr>
              <w:spacing w:after="0" w:line="240" w:lineRule="auto"/>
              <w:jc w:val="left"/>
              <w:rPr>
                <w:rFonts w:eastAsia="Times New Roman" w:cs="Arial"/>
              </w:rPr>
            </w:pPr>
            <w:r w:rsidRPr="005D4912">
              <w:rPr>
                <w:rFonts w:eastAsia="Times New Roman" w:cs="Arial"/>
              </w:rPr>
              <w:t>This concept has potential for modularity, staged construction and improved efficiency and environmental performance over pulverized coal-firing</w:t>
            </w:r>
            <w:r w:rsidR="00680AEE">
              <w:rPr>
                <w:rFonts w:eastAsia="Times New Roman" w:cs="Arial"/>
              </w:rPr>
              <w:t xml:space="preserve">. </w:t>
            </w:r>
            <w:r w:rsidRPr="005D4912">
              <w:rPr>
                <w:rFonts w:eastAsia="Times New Roman" w:cs="Arial"/>
              </w:rPr>
              <w:t>Capital cost is an important concern of the technology, and the use of advanced turbines is necessary for further efficiency improvement</w:t>
            </w:r>
            <w:r w:rsidR="00680AEE">
              <w:rPr>
                <w:rFonts w:eastAsia="Times New Roman" w:cs="Arial"/>
              </w:rPr>
              <w:t xml:space="preserve">. </w:t>
            </w:r>
            <w:r w:rsidRPr="005D4912">
              <w:rPr>
                <w:rFonts w:eastAsia="Times New Roman" w:cs="Arial"/>
              </w:rPr>
              <w:t xml:space="preserve">Southern Company has constructed a power system test facility in conjunction with </w:t>
            </w:r>
            <w:r w:rsidR="00A43487">
              <w:rPr>
                <w:rFonts w:eastAsia="Times New Roman" w:cs="Arial"/>
              </w:rPr>
              <w:t xml:space="preserve">the </w:t>
            </w:r>
            <w:r w:rsidR="007136B4">
              <w:rPr>
                <w:rFonts w:eastAsia="Times New Roman" w:cs="Arial"/>
              </w:rPr>
              <w:t>US</w:t>
            </w:r>
            <w:r w:rsidR="006549F0">
              <w:rPr>
                <w:rFonts w:eastAsia="Times New Roman" w:cs="Arial"/>
              </w:rPr>
              <w:t xml:space="preserve"> </w:t>
            </w:r>
            <w:r w:rsidR="00A43487">
              <w:rPr>
                <w:rFonts w:eastAsia="Times New Roman" w:cs="Arial"/>
              </w:rPr>
              <w:t>Department of Energy (“</w:t>
            </w:r>
            <w:r w:rsidRPr="005D4912">
              <w:rPr>
                <w:rFonts w:eastAsia="Times New Roman" w:cs="Arial"/>
              </w:rPr>
              <w:t>DOE</w:t>
            </w:r>
            <w:r w:rsidR="00A43487">
              <w:rPr>
                <w:rFonts w:eastAsia="Times New Roman" w:cs="Arial"/>
              </w:rPr>
              <w:t>”)</w:t>
            </w:r>
            <w:r w:rsidRPr="005D4912">
              <w:rPr>
                <w:rFonts w:eastAsia="Times New Roman" w:cs="Arial"/>
              </w:rPr>
              <w:t xml:space="preserve"> to refine IGCC</w:t>
            </w:r>
            <w:r w:rsidR="00680AEE">
              <w:rPr>
                <w:rFonts w:eastAsia="Times New Roman" w:cs="Arial"/>
              </w:rPr>
              <w:t xml:space="preserve">. </w:t>
            </w:r>
            <w:r w:rsidRPr="005D4912">
              <w:rPr>
                <w:rFonts w:eastAsia="Times New Roman" w:cs="Arial"/>
              </w:rPr>
              <w:t>Based on most current studies of CO</w:t>
            </w:r>
            <w:r w:rsidRPr="005D4912">
              <w:rPr>
                <w:rFonts w:eastAsia="Times New Roman" w:cs="Arial"/>
                <w:vertAlign w:val="subscript"/>
              </w:rPr>
              <w:t>2</w:t>
            </w:r>
            <w:r w:rsidRPr="005D4912">
              <w:rPr>
                <w:rFonts w:eastAsia="Times New Roman" w:cs="Arial"/>
              </w:rPr>
              <w:t xml:space="preserve"> capture for a coal-fueled power plant, IGCC has a cost advantage over pulverized coal because the CO</w:t>
            </w:r>
            <w:r w:rsidRPr="005D4912">
              <w:rPr>
                <w:rFonts w:eastAsia="Times New Roman" w:cs="Arial"/>
                <w:vertAlign w:val="subscript"/>
              </w:rPr>
              <w:t>2</w:t>
            </w:r>
            <w:r w:rsidRPr="005D4912">
              <w:rPr>
                <w:rFonts w:eastAsia="Times New Roman" w:cs="Arial"/>
              </w:rPr>
              <w:t xml:space="preserve"> in the gas stream is much more concentrated and at a higher pressure.</w:t>
            </w:r>
          </w:p>
        </w:tc>
        <w:tc>
          <w:tcPr>
            <w:tcW w:w="1325" w:type="pct"/>
            <w:shd w:val="clear" w:color="auto" w:fill="auto"/>
            <w:vAlign w:val="center"/>
            <w:hideMark/>
          </w:tcPr>
          <w:p w14:paraId="1A9F0409" w14:textId="3F42BD18" w:rsidR="00130D6C" w:rsidRPr="005D4912" w:rsidRDefault="00130D6C" w:rsidP="00130D6C">
            <w:pPr>
              <w:spacing w:after="0" w:line="240" w:lineRule="auto"/>
              <w:jc w:val="left"/>
              <w:rPr>
                <w:rFonts w:eastAsia="Times New Roman" w:cs="Arial"/>
                <w:b/>
                <w:bCs/>
              </w:rPr>
            </w:pPr>
            <w:r>
              <w:rPr>
                <w:rFonts w:eastAsia="Times New Roman" w:cs="Arial"/>
                <w:b/>
                <w:bCs/>
              </w:rPr>
              <w:t>NOT RETAINED</w:t>
            </w:r>
            <w:r w:rsidRPr="005D4912">
              <w:rPr>
                <w:rFonts w:eastAsia="Times New Roman" w:cs="Arial"/>
              </w:rPr>
              <w:t xml:space="preserve"> for further screening</w:t>
            </w:r>
            <w:r>
              <w:rPr>
                <w:rFonts w:eastAsia="Times New Roman" w:cs="Arial"/>
              </w:rPr>
              <w:t xml:space="preserve"> at his time for economic reasons</w:t>
            </w:r>
            <w:r w:rsidRPr="005D4912">
              <w:rPr>
                <w:rFonts w:eastAsia="Times New Roman" w:cs="Arial"/>
              </w:rPr>
              <w:t>.</w:t>
            </w:r>
          </w:p>
        </w:tc>
      </w:tr>
      <w:tr w:rsidR="00130D6C" w:rsidRPr="005D4912" w14:paraId="2B65BFF8" w14:textId="77777777" w:rsidTr="00130D6C">
        <w:trPr>
          <w:cantSplit/>
          <w:trHeight w:val="1905"/>
        </w:trPr>
        <w:tc>
          <w:tcPr>
            <w:tcW w:w="1437" w:type="pct"/>
            <w:shd w:val="clear" w:color="auto" w:fill="auto"/>
            <w:vAlign w:val="center"/>
            <w:hideMark/>
          </w:tcPr>
          <w:p w14:paraId="502A2D6B" w14:textId="7E5D084C" w:rsidR="00130D6C" w:rsidRPr="005D4912" w:rsidRDefault="00130D6C" w:rsidP="00130D6C">
            <w:pPr>
              <w:spacing w:after="0" w:line="240" w:lineRule="auto"/>
              <w:jc w:val="left"/>
              <w:rPr>
                <w:rFonts w:eastAsia="Times New Roman" w:cs="Arial"/>
              </w:rPr>
            </w:pPr>
            <w:r>
              <w:rPr>
                <w:rFonts w:eastAsia="Times New Roman" w:cs="Arial"/>
              </w:rPr>
              <w:t>7</w:t>
            </w:r>
            <w:r w:rsidRPr="005D4912">
              <w:rPr>
                <w:rFonts w:eastAsia="Times New Roman" w:cs="Arial"/>
              </w:rPr>
              <w:t xml:space="preserve">. Air-Blown IGCC </w:t>
            </w:r>
          </w:p>
        </w:tc>
        <w:tc>
          <w:tcPr>
            <w:tcW w:w="2238" w:type="pct"/>
            <w:shd w:val="clear" w:color="auto" w:fill="auto"/>
            <w:vAlign w:val="center"/>
            <w:hideMark/>
          </w:tcPr>
          <w:p w14:paraId="7D1D539C" w14:textId="09A9F112" w:rsidR="00130D6C" w:rsidRPr="005D4912" w:rsidRDefault="00130D6C" w:rsidP="00130D6C">
            <w:pPr>
              <w:spacing w:after="0" w:line="240" w:lineRule="auto"/>
              <w:jc w:val="left"/>
              <w:rPr>
                <w:rFonts w:eastAsia="Times New Roman" w:cs="Arial"/>
              </w:rPr>
            </w:pPr>
            <w:r w:rsidRPr="005D4912">
              <w:rPr>
                <w:rFonts w:eastAsia="Times New Roman" w:cs="Arial"/>
              </w:rPr>
              <w:t>This technology is based on an advanced concept using an air blown transport gasifier and associated combustor</w:t>
            </w:r>
            <w:r w:rsidR="00680AEE">
              <w:rPr>
                <w:rFonts w:eastAsia="Times New Roman" w:cs="Arial"/>
              </w:rPr>
              <w:t xml:space="preserve">. </w:t>
            </w:r>
            <w:r w:rsidRPr="005D4912">
              <w:rPr>
                <w:rFonts w:eastAsia="Times New Roman" w:cs="Arial"/>
              </w:rPr>
              <w:t>Air blown IGCC offers lower capital costs and higher efficiency compared to oxygen blown IGCC</w:t>
            </w:r>
            <w:r w:rsidR="00680AEE">
              <w:rPr>
                <w:rFonts w:eastAsia="Times New Roman" w:cs="Arial"/>
              </w:rPr>
              <w:t xml:space="preserve">. </w:t>
            </w:r>
          </w:p>
        </w:tc>
        <w:tc>
          <w:tcPr>
            <w:tcW w:w="1325" w:type="pct"/>
            <w:shd w:val="clear" w:color="auto" w:fill="auto"/>
            <w:vAlign w:val="center"/>
            <w:hideMark/>
          </w:tcPr>
          <w:p w14:paraId="691D7D88" w14:textId="289C8B81" w:rsidR="00130D6C" w:rsidRPr="005D4912" w:rsidRDefault="00130D6C" w:rsidP="00130D6C">
            <w:pPr>
              <w:spacing w:after="0" w:line="240" w:lineRule="auto"/>
              <w:jc w:val="left"/>
              <w:rPr>
                <w:rFonts w:eastAsia="Times New Roman" w:cs="Arial"/>
                <w:b/>
                <w:bCs/>
              </w:rPr>
            </w:pPr>
            <w:r>
              <w:rPr>
                <w:rFonts w:eastAsia="Times New Roman" w:cs="Arial"/>
                <w:b/>
                <w:bCs/>
              </w:rPr>
              <w:t>NOT RETAINED</w:t>
            </w:r>
            <w:r w:rsidRPr="005D4912">
              <w:rPr>
                <w:rFonts w:eastAsia="Times New Roman" w:cs="Arial"/>
              </w:rPr>
              <w:t xml:space="preserve"> for further screening</w:t>
            </w:r>
            <w:r>
              <w:rPr>
                <w:rFonts w:eastAsia="Times New Roman" w:cs="Arial"/>
              </w:rPr>
              <w:t xml:space="preserve"> at his time for economic reasons and cost uncertainty</w:t>
            </w:r>
            <w:r w:rsidRPr="005D4912">
              <w:rPr>
                <w:rFonts w:eastAsia="Times New Roman" w:cs="Arial"/>
              </w:rPr>
              <w:t>.</w:t>
            </w:r>
          </w:p>
        </w:tc>
      </w:tr>
      <w:tr w:rsidR="00130D6C" w:rsidRPr="005D4912" w14:paraId="173EE589" w14:textId="77777777" w:rsidTr="00130D6C">
        <w:trPr>
          <w:cantSplit/>
          <w:trHeight w:val="1275"/>
        </w:trPr>
        <w:tc>
          <w:tcPr>
            <w:tcW w:w="1437" w:type="pct"/>
            <w:shd w:val="clear" w:color="auto" w:fill="auto"/>
            <w:vAlign w:val="center"/>
            <w:hideMark/>
          </w:tcPr>
          <w:p w14:paraId="798266B4" w14:textId="0A03BE2C" w:rsidR="00130D6C" w:rsidRPr="005D4912" w:rsidRDefault="00130D6C" w:rsidP="00130D6C">
            <w:pPr>
              <w:spacing w:after="0" w:line="240" w:lineRule="auto"/>
              <w:jc w:val="left"/>
              <w:rPr>
                <w:rFonts w:eastAsia="Times New Roman" w:cs="Arial"/>
              </w:rPr>
            </w:pPr>
            <w:r>
              <w:rPr>
                <w:rFonts w:eastAsia="Times New Roman" w:cs="Arial"/>
              </w:rPr>
              <w:t>8</w:t>
            </w:r>
            <w:r w:rsidRPr="005D4912">
              <w:rPr>
                <w:rFonts w:eastAsia="Times New Roman" w:cs="Arial"/>
              </w:rPr>
              <w:t xml:space="preserve">. Non-Integrated Coal Gasification </w:t>
            </w:r>
            <w:r w:rsidR="00AA7E07">
              <w:rPr>
                <w:rFonts w:eastAsia="Times New Roman" w:cs="Arial"/>
              </w:rPr>
              <w:t>CC</w:t>
            </w:r>
          </w:p>
        </w:tc>
        <w:tc>
          <w:tcPr>
            <w:tcW w:w="2238" w:type="pct"/>
            <w:shd w:val="clear" w:color="auto" w:fill="auto"/>
            <w:vAlign w:val="center"/>
            <w:hideMark/>
          </w:tcPr>
          <w:p w14:paraId="1AAB10E3" w14:textId="579204FF" w:rsidR="00130D6C" w:rsidRPr="005D4912" w:rsidRDefault="00130D6C" w:rsidP="00130D6C">
            <w:pPr>
              <w:spacing w:after="0" w:line="240" w:lineRule="auto"/>
              <w:jc w:val="left"/>
              <w:rPr>
                <w:rFonts w:eastAsia="Times New Roman" w:cs="Arial"/>
              </w:rPr>
            </w:pPr>
            <w:r w:rsidRPr="005D4912">
              <w:rPr>
                <w:rFonts w:eastAsia="Times New Roman" w:cs="Arial"/>
              </w:rPr>
              <w:t>This concept holds promise for modularity and staged construction</w:t>
            </w:r>
            <w:r w:rsidR="00680AEE">
              <w:rPr>
                <w:rFonts w:eastAsia="Times New Roman" w:cs="Arial"/>
              </w:rPr>
              <w:t xml:space="preserve">. </w:t>
            </w:r>
            <w:r w:rsidRPr="005D4912">
              <w:rPr>
                <w:rFonts w:eastAsia="Times New Roman" w:cs="Arial"/>
              </w:rPr>
              <w:t>Capital cost is an important concern of the technology and the development of advanced turbines is necessary for further efficiency improvement.</w:t>
            </w:r>
          </w:p>
        </w:tc>
        <w:tc>
          <w:tcPr>
            <w:tcW w:w="1325" w:type="pct"/>
            <w:shd w:val="clear" w:color="auto" w:fill="auto"/>
            <w:vAlign w:val="center"/>
            <w:hideMark/>
          </w:tcPr>
          <w:p w14:paraId="2FB393EE"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because the integrated version would be more cost-effective and efficient.</w:t>
            </w:r>
          </w:p>
        </w:tc>
      </w:tr>
      <w:tr w:rsidR="00130D6C" w:rsidRPr="005D4912" w14:paraId="351D9C39" w14:textId="77777777" w:rsidTr="00130D6C">
        <w:trPr>
          <w:cantSplit/>
          <w:trHeight w:val="1590"/>
        </w:trPr>
        <w:tc>
          <w:tcPr>
            <w:tcW w:w="1437" w:type="pct"/>
            <w:shd w:val="clear" w:color="auto" w:fill="auto"/>
            <w:vAlign w:val="center"/>
            <w:hideMark/>
          </w:tcPr>
          <w:p w14:paraId="62F8649A" w14:textId="347D22C8" w:rsidR="00130D6C" w:rsidRPr="005D4912" w:rsidRDefault="00130D6C" w:rsidP="00130D6C">
            <w:pPr>
              <w:spacing w:after="0" w:line="240" w:lineRule="auto"/>
              <w:jc w:val="left"/>
              <w:rPr>
                <w:rFonts w:eastAsia="Times New Roman" w:cs="Arial"/>
              </w:rPr>
            </w:pPr>
            <w:r>
              <w:rPr>
                <w:rFonts w:eastAsia="Times New Roman" w:cs="Arial"/>
              </w:rPr>
              <w:t>9</w:t>
            </w:r>
            <w:r w:rsidRPr="005D4912">
              <w:rPr>
                <w:rFonts w:eastAsia="Times New Roman" w:cs="Arial"/>
              </w:rPr>
              <w:t xml:space="preserve">. Integrated Gasification Fuel Cell </w:t>
            </w:r>
            <w:r w:rsidR="00AA7E07">
              <w:rPr>
                <w:rFonts w:eastAsia="Times New Roman" w:cs="Arial"/>
              </w:rPr>
              <w:t>CC</w:t>
            </w:r>
          </w:p>
        </w:tc>
        <w:tc>
          <w:tcPr>
            <w:tcW w:w="2238" w:type="pct"/>
            <w:shd w:val="clear" w:color="auto" w:fill="auto"/>
            <w:vAlign w:val="center"/>
            <w:hideMark/>
          </w:tcPr>
          <w:p w14:paraId="6E384BBF" w14:textId="3FAC3125" w:rsidR="00130D6C" w:rsidRPr="005D4912" w:rsidRDefault="00130D6C" w:rsidP="00130D6C">
            <w:pPr>
              <w:spacing w:after="0" w:line="240" w:lineRule="auto"/>
              <w:jc w:val="left"/>
              <w:rPr>
                <w:rFonts w:eastAsia="Times New Roman" w:cs="Arial"/>
              </w:rPr>
            </w:pPr>
            <w:r w:rsidRPr="005D4912">
              <w:rPr>
                <w:rFonts w:eastAsia="Times New Roman" w:cs="Arial"/>
              </w:rPr>
              <w:t xml:space="preserve">This is a future concept that depends on the development of advanced fuel cells that would be substituted for CTs in the gasification </w:t>
            </w:r>
            <w:r w:rsidR="00AA7E07">
              <w:rPr>
                <w:rFonts w:eastAsia="Times New Roman" w:cs="Arial"/>
              </w:rPr>
              <w:t xml:space="preserve">CC </w:t>
            </w:r>
            <w:r w:rsidRPr="005D4912">
              <w:rPr>
                <w:rFonts w:eastAsia="Times New Roman" w:cs="Arial"/>
              </w:rPr>
              <w:t>plant to provide high efficiency and extremely low environmental emissions</w:t>
            </w:r>
            <w:r w:rsidR="00680AEE">
              <w:rPr>
                <w:rFonts w:eastAsia="Times New Roman" w:cs="Arial"/>
              </w:rPr>
              <w:t xml:space="preserve">. </w:t>
            </w:r>
            <w:r w:rsidRPr="005D4912">
              <w:rPr>
                <w:rFonts w:eastAsia="Times New Roman" w:cs="Arial"/>
              </w:rPr>
              <w:t>The commercialization of this concept is still uncertain given its dependence on the development of several advanced technology concepts.</w:t>
            </w:r>
          </w:p>
        </w:tc>
        <w:tc>
          <w:tcPr>
            <w:tcW w:w="1325" w:type="pct"/>
            <w:shd w:val="clear" w:color="auto" w:fill="auto"/>
            <w:vAlign w:val="center"/>
            <w:hideMark/>
          </w:tcPr>
          <w:p w14:paraId="00BEDC7F"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its low level of development and high degree of uncertainty with cost projections.</w:t>
            </w:r>
          </w:p>
        </w:tc>
      </w:tr>
      <w:tr w:rsidR="00130D6C" w:rsidRPr="005D4912" w14:paraId="15D45EF1" w14:textId="77777777" w:rsidTr="00130D6C">
        <w:trPr>
          <w:cantSplit/>
          <w:trHeight w:val="1965"/>
        </w:trPr>
        <w:tc>
          <w:tcPr>
            <w:tcW w:w="1437" w:type="pct"/>
            <w:shd w:val="clear" w:color="auto" w:fill="auto"/>
            <w:vAlign w:val="center"/>
            <w:hideMark/>
          </w:tcPr>
          <w:p w14:paraId="4BFF175E" w14:textId="0F3E3ACF" w:rsidR="00130D6C" w:rsidRPr="005D4912" w:rsidRDefault="00130D6C" w:rsidP="00130D6C">
            <w:pPr>
              <w:spacing w:after="0" w:line="240" w:lineRule="auto"/>
              <w:jc w:val="left"/>
              <w:rPr>
                <w:rFonts w:eastAsia="Times New Roman" w:cs="Arial"/>
              </w:rPr>
            </w:pPr>
            <w:r>
              <w:rPr>
                <w:rFonts w:eastAsia="Times New Roman" w:cs="Arial"/>
              </w:rPr>
              <w:t>10</w:t>
            </w:r>
            <w:r w:rsidRPr="005D4912">
              <w:rPr>
                <w:rFonts w:eastAsia="Times New Roman" w:cs="Arial"/>
              </w:rPr>
              <w:t>. Magnetohydrodynamics (“MHD”)</w:t>
            </w:r>
          </w:p>
        </w:tc>
        <w:tc>
          <w:tcPr>
            <w:tcW w:w="2238" w:type="pct"/>
            <w:shd w:val="clear" w:color="auto" w:fill="auto"/>
            <w:vAlign w:val="center"/>
            <w:hideMark/>
          </w:tcPr>
          <w:p w14:paraId="14303C44" w14:textId="26B5F6B0" w:rsidR="00130D6C" w:rsidRPr="005D4912" w:rsidRDefault="00130D6C" w:rsidP="00130D6C">
            <w:pPr>
              <w:spacing w:after="0" w:line="240" w:lineRule="auto"/>
              <w:jc w:val="left"/>
              <w:rPr>
                <w:rFonts w:eastAsia="Times New Roman" w:cs="Arial"/>
              </w:rPr>
            </w:pPr>
            <w:r w:rsidRPr="005D4912">
              <w:rPr>
                <w:rFonts w:eastAsia="Times New Roman" w:cs="Arial"/>
              </w:rPr>
              <w:t>MHD’s appeal is high efficiency and inherent SO</w:t>
            </w:r>
            <w:r w:rsidRPr="005D4912">
              <w:rPr>
                <w:rFonts w:eastAsia="Times New Roman" w:cs="Arial"/>
                <w:vertAlign w:val="subscript"/>
              </w:rPr>
              <w:t>2</w:t>
            </w:r>
            <w:r w:rsidRPr="005D4912">
              <w:rPr>
                <w:rFonts w:eastAsia="Times New Roman" w:cs="Arial"/>
              </w:rPr>
              <w:t xml:space="preserve">, </w:t>
            </w:r>
            <w:r w:rsidR="00EA6B68" w:rsidRPr="005D4912">
              <w:rPr>
                <w:rFonts w:eastAsia="Times New Roman" w:cs="Arial"/>
              </w:rPr>
              <w:t>NO</w:t>
            </w:r>
            <w:r w:rsidR="00F6577C">
              <w:rPr>
                <w:rFonts w:eastAsia="Times New Roman" w:cs="Arial"/>
                <w:vertAlign w:val="subscript"/>
              </w:rPr>
              <w:t>X</w:t>
            </w:r>
            <w:r w:rsidRPr="005D4912">
              <w:rPr>
                <w:rFonts w:eastAsia="Times New Roman" w:cs="Arial"/>
              </w:rPr>
              <w:t>, and particulate control</w:t>
            </w:r>
            <w:r w:rsidR="00680AEE">
              <w:rPr>
                <w:rFonts w:eastAsia="Times New Roman" w:cs="Arial"/>
              </w:rPr>
              <w:t xml:space="preserve">. </w:t>
            </w:r>
            <w:r w:rsidRPr="005D4912">
              <w:rPr>
                <w:rFonts w:eastAsia="Times New Roman" w:cs="Arial"/>
              </w:rPr>
              <w:t>The key developmental component is the MHD generator, in which a conducting exhaust gas from the combustion of coal along with seed material is passed through a magnetic field to produce DC electricity</w:t>
            </w:r>
            <w:r w:rsidR="00680AEE">
              <w:rPr>
                <w:rFonts w:eastAsia="Times New Roman" w:cs="Arial"/>
              </w:rPr>
              <w:t xml:space="preserve">. </w:t>
            </w:r>
            <w:r w:rsidRPr="005D4912">
              <w:rPr>
                <w:rFonts w:eastAsia="Times New Roman" w:cs="Arial"/>
              </w:rPr>
              <w:t>The bottoming cycle is a conventional boiler and steam turbine</w:t>
            </w:r>
            <w:r w:rsidR="00680AEE">
              <w:rPr>
                <w:rFonts w:eastAsia="Times New Roman" w:cs="Arial"/>
              </w:rPr>
              <w:t xml:space="preserve">. </w:t>
            </w:r>
            <w:r w:rsidRPr="005D4912">
              <w:rPr>
                <w:rFonts w:eastAsia="Times New Roman" w:cs="Arial"/>
              </w:rPr>
              <w:t>However, progress with MHD remains slow to stagnant, and conceptual estimates indicate a very high cost.</w:t>
            </w:r>
          </w:p>
        </w:tc>
        <w:tc>
          <w:tcPr>
            <w:tcW w:w="1325" w:type="pct"/>
            <w:shd w:val="clear" w:color="auto" w:fill="auto"/>
            <w:vAlign w:val="center"/>
            <w:hideMark/>
          </w:tcPr>
          <w:p w14:paraId="1984C709"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the level of development and cost uncertainties.</w:t>
            </w:r>
          </w:p>
        </w:tc>
      </w:tr>
      <w:tr w:rsidR="00130D6C" w:rsidRPr="005D4912" w14:paraId="1DAE8E0F" w14:textId="77777777" w:rsidTr="00130D6C">
        <w:trPr>
          <w:cantSplit/>
          <w:trHeight w:val="1905"/>
        </w:trPr>
        <w:tc>
          <w:tcPr>
            <w:tcW w:w="1437" w:type="pct"/>
            <w:shd w:val="clear" w:color="auto" w:fill="auto"/>
            <w:vAlign w:val="center"/>
            <w:hideMark/>
          </w:tcPr>
          <w:p w14:paraId="0F4AFFA6" w14:textId="6162CF78" w:rsidR="00130D6C" w:rsidRPr="005D4912" w:rsidRDefault="00130D6C" w:rsidP="00130D6C">
            <w:pPr>
              <w:spacing w:after="0" w:line="240" w:lineRule="auto"/>
              <w:jc w:val="left"/>
              <w:rPr>
                <w:rFonts w:eastAsia="Times New Roman" w:cs="Arial"/>
              </w:rPr>
            </w:pPr>
            <w:r>
              <w:rPr>
                <w:rFonts w:eastAsia="Times New Roman" w:cs="Arial"/>
              </w:rPr>
              <w:t>11</w:t>
            </w:r>
            <w:r w:rsidRPr="005D4912">
              <w:rPr>
                <w:rFonts w:eastAsia="Times New Roman" w:cs="Arial"/>
              </w:rPr>
              <w:t>. CT (Conventional/ Advanced)</w:t>
            </w:r>
          </w:p>
        </w:tc>
        <w:tc>
          <w:tcPr>
            <w:tcW w:w="2238" w:type="pct"/>
            <w:shd w:val="clear" w:color="auto" w:fill="auto"/>
            <w:vAlign w:val="center"/>
            <w:hideMark/>
          </w:tcPr>
          <w:p w14:paraId="4B3E2A58" w14:textId="48FA7618" w:rsidR="00130D6C" w:rsidRPr="005D4912" w:rsidRDefault="00130D6C" w:rsidP="00130D6C">
            <w:pPr>
              <w:spacing w:after="0" w:line="240" w:lineRule="auto"/>
              <w:jc w:val="left"/>
              <w:rPr>
                <w:rFonts w:eastAsia="Times New Roman" w:cs="Arial"/>
              </w:rPr>
            </w:pPr>
            <w:r w:rsidRPr="005D4912">
              <w:rPr>
                <w:rFonts w:eastAsia="Times New Roman" w:cs="Arial"/>
              </w:rPr>
              <w:t xml:space="preserve">Many conventional units exist on the </w:t>
            </w:r>
            <w:r w:rsidR="00643CE8">
              <w:rPr>
                <w:rFonts w:eastAsia="Times New Roman" w:cs="Arial"/>
              </w:rPr>
              <w:t>S</w:t>
            </w:r>
            <w:r w:rsidRPr="005D4912">
              <w:rPr>
                <w:rFonts w:eastAsia="Times New Roman" w:cs="Arial"/>
              </w:rPr>
              <w:t>ystem</w:t>
            </w:r>
            <w:r w:rsidR="00680AEE">
              <w:rPr>
                <w:rFonts w:eastAsia="Times New Roman" w:cs="Arial"/>
              </w:rPr>
              <w:t xml:space="preserve">. </w:t>
            </w:r>
            <w:r w:rsidRPr="005D4912">
              <w:rPr>
                <w:rFonts w:eastAsia="Times New Roman" w:cs="Arial"/>
              </w:rPr>
              <w:t>The technology is mature, but advanced designs offer even higher turbine inlet temperatures for improved efficiencies</w:t>
            </w:r>
            <w:r w:rsidR="00680AEE">
              <w:rPr>
                <w:rFonts w:eastAsia="Times New Roman" w:cs="Arial"/>
              </w:rPr>
              <w:t xml:space="preserve">. </w:t>
            </w:r>
            <w:r w:rsidRPr="005D4912">
              <w:rPr>
                <w:rFonts w:eastAsia="Times New Roman" w:cs="Arial"/>
              </w:rPr>
              <w:t>The increasing turbine temperatures will open new reliability questions</w:t>
            </w:r>
            <w:r w:rsidR="00680AEE">
              <w:rPr>
                <w:rFonts w:eastAsia="Times New Roman" w:cs="Arial"/>
              </w:rPr>
              <w:t xml:space="preserve">. </w:t>
            </w:r>
            <w:r w:rsidRPr="005D4912">
              <w:rPr>
                <w:rFonts w:eastAsia="Times New Roman" w:cs="Arial"/>
              </w:rPr>
              <w:t xml:space="preserve">CTs can be applied as peaking capacity and in </w:t>
            </w:r>
            <w:r w:rsidR="00AA7E07">
              <w:rPr>
                <w:rFonts w:eastAsia="Times New Roman" w:cs="Arial"/>
              </w:rPr>
              <w:t>CC</w:t>
            </w:r>
            <w:r w:rsidRPr="005D4912">
              <w:rPr>
                <w:rFonts w:eastAsia="Times New Roman" w:cs="Arial"/>
              </w:rPr>
              <w:t xml:space="preserve"> plants using natural gas or oil</w:t>
            </w:r>
            <w:r w:rsidR="00680AEE">
              <w:rPr>
                <w:rFonts w:eastAsia="Times New Roman" w:cs="Arial"/>
              </w:rPr>
              <w:t xml:space="preserve">. </w:t>
            </w:r>
            <w:r w:rsidRPr="005D4912">
              <w:rPr>
                <w:rFonts w:eastAsia="Times New Roman" w:cs="Arial"/>
              </w:rPr>
              <w:t>Advancements are being closely monitored</w:t>
            </w:r>
            <w:r w:rsidR="00680AEE">
              <w:rPr>
                <w:rFonts w:eastAsia="Times New Roman" w:cs="Arial"/>
              </w:rPr>
              <w:t xml:space="preserve">. </w:t>
            </w:r>
            <w:r w:rsidRPr="005D4912">
              <w:rPr>
                <w:rFonts w:eastAsia="Times New Roman" w:cs="Arial"/>
              </w:rPr>
              <w:t xml:space="preserve">State-of-the-art combustion </w:t>
            </w:r>
            <w:r w:rsidR="00EA6B68" w:rsidRPr="005D4912">
              <w:rPr>
                <w:rFonts w:eastAsia="Times New Roman" w:cs="Arial"/>
              </w:rPr>
              <w:t>NO</w:t>
            </w:r>
            <w:r w:rsidR="00EA6B68" w:rsidRPr="00EA7B10">
              <w:rPr>
                <w:rFonts w:eastAsia="Times New Roman" w:cs="Arial"/>
                <w:vertAlign w:val="subscript"/>
              </w:rPr>
              <w:t>X</w:t>
            </w:r>
            <w:r w:rsidR="00C01A21">
              <w:rPr>
                <w:rFonts w:eastAsia="Times New Roman" w:cs="Arial"/>
              </w:rPr>
              <w:t xml:space="preserve"> c</w:t>
            </w:r>
            <w:r w:rsidRPr="005D4912">
              <w:rPr>
                <w:rFonts w:eastAsia="Times New Roman" w:cs="Arial"/>
              </w:rPr>
              <w:t>ontrol systems will be incorporated in the designs.</w:t>
            </w:r>
          </w:p>
        </w:tc>
        <w:tc>
          <w:tcPr>
            <w:tcW w:w="1325" w:type="pct"/>
            <w:shd w:val="clear" w:color="auto" w:fill="auto"/>
            <w:vAlign w:val="center"/>
            <w:hideMark/>
          </w:tcPr>
          <w:p w14:paraId="2AEB3DCC"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17DC4824" w14:textId="77777777" w:rsidTr="00130D6C">
        <w:trPr>
          <w:cantSplit/>
          <w:trHeight w:val="2850"/>
        </w:trPr>
        <w:tc>
          <w:tcPr>
            <w:tcW w:w="1437" w:type="pct"/>
            <w:shd w:val="clear" w:color="auto" w:fill="auto"/>
            <w:vAlign w:val="center"/>
            <w:hideMark/>
          </w:tcPr>
          <w:p w14:paraId="4C8C8BD9" w14:textId="3B6E5681" w:rsidR="00130D6C" w:rsidRPr="005D4912" w:rsidRDefault="00130D6C" w:rsidP="00130D6C">
            <w:pPr>
              <w:spacing w:after="0" w:line="240" w:lineRule="auto"/>
              <w:jc w:val="left"/>
              <w:rPr>
                <w:rFonts w:eastAsia="Times New Roman" w:cs="Arial"/>
              </w:rPr>
            </w:pPr>
            <w:r>
              <w:rPr>
                <w:rFonts w:eastAsia="Times New Roman" w:cs="Arial"/>
              </w:rPr>
              <w:t>12</w:t>
            </w:r>
            <w:r w:rsidRPr="005D4912">
              <w:rPr>
                <w:rFonts w:eastAsia="Times New Roman" w:cs="Arial"/>
              </w:rPr>
              <w:t>. CC (Conventional/Advanced)</w:t>
            </w:r>
          </w:p>
        </w:tc>
        <w:tc>
          <w:tcPr>
            <w:tcW w:w="2238" w:type="pct"/>
            <w:shd w:val="clear" w:color="auto" w:fill="auto"/>
            <w:vAlign w:val="center"/>
            <w:hideMark/>
          </w:tcPr>
          <w:p w14:paraId="46DDD8BA" w14:textId="75F39018" w:rsidR="00130D6C" w:rsidRPr="005D4912" w:rsidRDefault="00130D6C" w:rsidP="00130D6C">
            <w:pPr>
              <w:spacing w:after="0" w:line="240" w:lineRule="auto"/>
              <w:jc w:val="left"/>
              <w:rPr>
                <w:rFonts w:eastAsia="Times New Roman" w:cs="Arial"/>
              </w:rPr>
            </w:pPr>
            <w:r w:rsidRPr="005D4912">
              <w:rPr>
                <w:rFonts w:eastAsia="Times New Roman" w:cs="Arial"/>
              </w:rPr>
              <w:t xml:space="preserve">Units are in operation on the </w:t>
            </w:r>
            <w:r w:rsidR="00643CE8">
              <w:rPr>
                <w:rFonts w:eastAsia="Times New Roman" w:cs="Arial"/>
              </w:rPr>
              <w:t>S</w:t>
            </w:r>
            <w:r w:rsidRPr="005D4912">
              <w:rPr>
                <w:rFonts w:eastAsia="Times New Roman" w:cs="Arial"/>
              </w:rPr>
              <w:t>ystem</w:t>
            </w:r>
            <w:r w:rsidR="00643CE8">
              <w:rPr>
                <w:rFonts w:eastAsia="Times New Roman" w:cs="Arial"/>
              </w:rPr>
              <w:t>,</w:t>
            </w:r>
            <w:r w:rsidRPr="005D4912">
              <w:rPr>
                <w:rFonts w:eastAsia="Times New Roman" w:cs="Arial"/>
              </w:rPr>
              <w:t xml:space="preserve"> and the technology is mature</w:t>
            </w:r>
            <w:r w:rsidR="00680AEE">
              <w:rPr>
                <w:rFonts w:eastAsia="Times New Roman" w:cs="Arial"/>
              </w:rPr>
              <w:t xml:space="preserve">. </w:t>
            </w:r>
            <w:r w:rsidRPr="005D4912">
              <w:rPr>
                <w:rFonts w:eastAsia="Times New Roman" w:cs="Arial"/>
              </w:rPr>
              <w:t>Future designs using more state-of-the-art CTs will offer better economies (see CTs above)</w:t>
            </w:r>
            <w:r w:rsidR="00680AEE">
              <w:rPr>
                <w:rFonts w:eastAsia="Times New Roman" w:cs="Arial"/>
              </w:rPr>
              <w:t xml:space="preserve">. </w:t>
            </w:r>
            <w:r w:rsidRPr="005D4912">
              <w:rPr>
                <w:rFonts w:eastAsia="Times New Roman" w:cs="Arial"/>
              </w:rPr>
              <w:t>Vendors are now offering new CT designs with increased turbine inlet temperatures for improved CC efficiencies</w:t>
            </w:r>
            <w:r w:rsidR="00680AEE">
              <w:rPr>
                <w:rFonts w:eastAsia="Times New Roman" w:cs="Arial"/>
              </w:rPr>
              <w:t xml:space="preserve">. </w:t>
            </w:r>
            <w:r w:rsidRPr="005D4912">
              <w:rPr>
                <w:rFonts w:eastAsia="Times New Roman" w:cs="Arial"/>
              </w:rPr>
              <w:t>Each of the major Original Equipment Manufacturers (“OEMs”) now offer packaged CC plants, based on advanced gas turbine technology, which offer greater thermal efficiencies and increased operational flexibility compared to conventional units</w:t>
            </w:r>
            <w:r w:rsidR="00680AEE">
              <w:rPr>
                <w:rFonts w:eastAsia="Times New Roman" w:cs="Arial"/>
              </w:rPr>
              <w:t xml:space="preserve">. </w:t>
            </w:r>
            <w:r w:rsidRPr="005D4912">
              <w:rPr>
                <w:rFonts w:eastAsia="Times New Roman" w:cs="Arial"/>
              </w:rPr>
              <w:t xml:space="preserve">State-of-the-art </w:t>
            </w:r>
            <w:r w:rsidR="00EA6B68" w:rsidRPr="005D4912">
              <w:rPr>
                <w:rFonts w:eastAsia="Times New Roman" w:cs="Arial"/>
              </w:rPr>
              <w:t>NO</w:t>
            </w:r>
            <w:r w:rsidR="00EA6B68" w:rsidRPr="00EA7B10">
              <w:rPr>
                <w:rFonts w:eastAsia="Times New Roman" w:cs="Arial"/>
                <w:vertAlign w:val="subscript"/>
              </w:rPr>
              <w:t>X</w:t>
            </w:r>
            <w:r w:rsidR="00FE2448">
              <w:rPr>
                <w:rFonts w:eastAsia="Times New Roman" w:cs="Arial"/>
                <w:vertAlign w:val="subscript"/>
              </w:rPr>
              <w:t xml:space="preserve"> </w:t>
            </w:r>
            <w:r w:rsidRPr="005D4912">
              <w:rPr>
                <w:rFonts w:eastAsia="Times New Roman" w:cs="Arial"/>
              </w:rPr>
              <w:t>control systems will be incorporated for environmental compliance</w:t>
            </w:r>
            <w:r w:rsidR="00680AEE">
              <w:rPr>
                <w:rFonts w:eastAsia="Times New Roman" w:cs="Arial"/>
              </w:rPr>
              <w:t xml:space="preserve">. </w:t>
            </w:r>
            <w:r w:rsidRPr="005D4912">
              <w:rPr>
                <w:rFonts w:eastAsia="Times New Roman" w:cs="Arial"/>
              </w:rPr>
              <w:t>A number of advanced CT</w:t>
            </w:r>
            <w:r w:rsidRPr="005D4912">
              <w:rPr>
                <w:rFonts w:eastAsia="Times New Roman" w:cs="Arial"/>
              </w:rPr>
              <w:noBreakHyphen/>
              <w:t>based cycles such as the Cascaded Humidified Advanced Turbine (“CHAT”), Humidified Air Injection (“HAI”), and Kalina cycles have the potential for higher thermal efficiencies; however</w:t>
            </w:r>
            <w:r w:rsidR="00EA6B68">
              <w:rPr>
                <w:rFonts w:eastAsia="Times New Roman" w:cs="Arial"/>
              </w:rPr>
              <w:t>,</w:t>
            </w:r>
            <w:r w:rsidRPr="005D4912">
              <w:rPr>
                <w:rFonts w:eastAsia="Times New Roman" w:cs="Arial"/>
              </w:rPr>
              <w:t xml:space="preserve"> they have not been commercially demonstrated.</w:t>
            </w:r>
          </w:p>
        </w:tc>
        <w:tc>
          <w:tcPr>
            <w:tcW w:w="1325" w:type="pct"/>
            <w:shd w:val="clear" w:color="auto" w:fill="auto"/>
            <w:vAlign w:val="center"/>
            <w:hideMark/>
          </w:tcPr>
          <w:p w14:paraId="47D029B1"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5A9EC3B8" w14:textId="77777777" w:rsidTr="00130D6C">
        <w:trPr>
          <w:cantSplit/>
          <w:trHeight w:val="1905"/>
        </w:trPr>
        <w:tc>
          <w:tcPr>
            <w:tcW w:w="1437" w:type="pct"/>
            <w:shd w:val="clear" w:color="auto" w:fill="auto"/>
            <w:vAlign w:val="center"/>
            <w:hideMark/>
          </w:tcPr>
          <w:p w14:paraId="78C84293" w14:textId="65B4E0B5" w:rsidR="00130D6C" w:rsidRPr="005D4912" w:rsidRDefault="00130D6C" w:rsidP="00130D6C">
            <w:pPr>
              <w:spacing w:after="0" w:line="240" w:lineRule="auto"/>
              <w:jc w:val="left"/>
              <w:rPr>
                <w:rFonts w:eastAsia="Times New Roman" w:cs="Arial"/>
              </w:rPr>
            </w:pPr>
            <w:r w:rsidRPr="005D4912">
              <w:rPr>
                <w:rFonts w:eastAsia="Times New Roman" w:cs="Arial"/>
              </w:rPr>
              <w:t>1</w:t>
            </w:r>
            <w:r>
              <w:rPr>
                <w:rFonts w:eastAsia="Times New Roman" w:cs="Arial"/>
              </w:rPr>
              <w:t>3</w:t>
            </w:r>
            <w:r w:rsidRPr="005D4912">
              <w:rPr>
                <w:rFonts w:eastAsia="Times New Roman" w:cs="Arial"/>
              </w:rPr>
              <w:t>. Phosphoric Acid Fuel Cells (“PAFC”)</w:t>
            </w:r>
          </w:p>
        </w:tc>
        <w:tc>
          <w:tcPr>
            <w:tcW w:w="2238" w:type="pct"/>
            <w:shd w:val="clear" w:color="auto" w:fill="auto"/>
            <w:vAlign w:val="center"/>
            <w:hideMark/>
          </w:tcPr>
          <w:p w14:paraId="35AEF5C4" w14:textId="4F4D0337" w:rsidR="00130D6C" w:rsidRPr="005D4912" w:rsidRDefault="00130D6C" w:rsidP="00130D6C">
            <w:pPr>
              <w:spacing w:after="0" w:line="240" w:lineRule="auto"/>
              <w:jc w:val="left"/>
              <w:rPr>
                <w:rFonts w:eastAsia="Times New Roman" w:cs="Arial"/>
              </w:rPr>
            </w:pPr>
            <w:r w:rsidRPr="005D4912">
              <w:rPr>
                <w:rFonts w:eastAsia="Times New Roman" w:cs="Arial"/>
              </w:rPr>
              <w:t>Phosphoric acid electrolyte systems using natural gas are the most mature fuel cell technology and, as such, have the most extensive track record for operational experience</w:t>
            </w:r>
            <w:r w:rsidR="00680AEE">
              <w:rPr>
                <w:rFonts w:eastAsia="Times New Roman" w:cs="Arial"/>
              </w:rPr>
              <w:t xml:space="preserve">. </w:t>
            </w:r>
            <w:r w:rsidRPr="005D4912">
              <w:rPr>
                <w:rFonts w:eastAsia="Times New Roman" w:cs="Arial"/>
              </w:rPr>
              <w:t>Recent industry activity from Doosan suggests renewed commitment to PAFC technology</w:t>
            </w:r>
            <w:r w:rsidR="00680AEE">
              <w:rPr>
                <w:rFonts w:eastAsia="Times New Roman" w:cs="Arial"/>
              </w:rPr>
              <w:t xml:space="preserve">. </w:t>
            </w:r>
            <w:r w:rsidRPr="005D4912">
              <w:rPr>
                <w:rFonts w:eastAsia="Times New Roman" w:cs="Arial"/>
              </w:rPr>
              <w:t>This system has shown improvements as well as a reduction in cost</w:t>
            </w:r>
            <w:r w:rsidR="00680AEE">
              <w:rPr>
                <w:rFonts w:eastAsia="Times New Roman" w:cs="Arial"/>
              </w:rPr>
              <w:t xml:space="preserve">. </w:t>
            </w:r>
            <w:r w:rsidRPr="005D4912">
              <w:rPr>
                <w:rFonts w:eastAsia="Times New Roman" w:cs="Arial"/>
              </w:rPr>
              <w:t>Attractive features include modular construction, low environmental impact, siting flexibility, and high efficiencies at small sizes.</w:t>
            </w:r>
          </w:p>
        </w:tc>
        <w:tc>
          <w:tcPr>
            <w:tcW w:w="1325" w:type="pct"/>
            <w:shd w:val="clear" w:color="auto" w:fill="auto"/>
            <w:vAlign w:val="center"/>
            <w:hideMark/>
          </w:tcPr>
          <w:p w14:paraId="14173D7E"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4656CAE2" w14:textId="77777777" w:rsidTr="00130D6C">
        <w:trPr>
          <w:cantSplit/>
          <w:trHeight w:val="4425"/>
        </w:trPr>
        <w:tc>
          <w:tcPr>
            <w:tcW w:w="1437" w:type="pct"/>
            <w:shd w:val="clear" w:color="auto" w:fill="auto"/>
            <w:vAlign w:val="center"/>
            <w:hideMark/>
          </w:tcPr>
          <w:p w14:paraId="17C7457C" w14:textId="4B381D8F" w:rsidR="00130D6C" w:rsidRPr="005D4912" w:rsidRDefault="00130D6C" w:rsidP="00130D6C">
            <w:pPr>
              <w:spacing w:after="0" w:line="240" w:lineRule="auto"/>
              <w:jc w:val="left"/>
              <w:rPr>
                <w:rFonts w:eastAsia="Times New Roman" w:cs="Arial"/>
              </w:rPr>
            </w:pPr>
            <w:r w:rsidRPr="005D4912">
              <w:rPr>
                <w:rFonts w:eastAsia="Times New Roman" w:cs="Arial"/>
              </w:rPr>
              <w:t>1</w:t>
            </w:r>
            <w:r>
              <w:rPr>
                <w:rFonts w:eastAsia="Times New Roman" w:cs="Arial"/>
              </w:rPr>
              <w:t>4</w:t>
            </w:r>
            <w:r w:rsidRPr="005D4912">
              <w:rPr>
                <w:rFonts w:eastAsia="Times New Roman" w:cs="Arial"/>
              </w:rPr>
              <w:t xml:space="preserve">. Advanced High Temperature Fuel Cells </w:t>
            </w:r>
            <w:r w:rsidR="00646F0E">
              <w:rPr>
                <w:rFonts w:eastAsia="Times New Roman" w:cs="Arial"/>
              </w:rPr>
              <w:t>–</w:t>
            </w:r>
            <w:r w:rsidRPr="005D4912">
              <w:rPr>
                <w:rFonts w:eastAsia="Times New Roman" w:cs="Arial"/>
              </w:rPr>
              <w:t xml:space="preserve"> Molten Carbonate Fuel Cell (“MCFC”) and Solid Oxide Fuel Cell (“SOFC”)</w:t>
            </w:r>
          </w:p>
        </w:tc>
        <w:tc>
          <w:tcPr>
            <w:tcW w:w="2238" w:type="pct"/>
            <w:shd w:val="clear" w:color="auto" w:fill="auto"/>
            <w:vAlign w:val="center"/>
            <w:hideMark/>
          </w:tcPr>
          <w:p w14:paraId="52C15F24" w14:textId="415C316B" w:rsidR="00130D6C" w:rsidRPr="005D4912" w:rsidRDefault="00130D6C" w:rsidP="00130D6C">
            <w:pPr>
              <w:spacing w:after="0" w:line="240" w:lineRule="auto"/>
              <w:jc w:val="left"/>
              <w:rPr>
                <w:rFonts w:eastAsia="Times New Roman" w:cs="Arial"/>
              </w:rPr>
            </w:pPr>
            <w:r w:rsidRPr="005D4912">
              <w:rPr>
                <w:rFonts w:eastAsia="Times New Roman" w:cs="Arial"/>
              </w:rPr>
              <w:t xml:space="preserve">Fuel cells using molten carbonate or solid oxide electrolyte may be more attractive than the phosphoric acid or </w:t>
            </w:r>
            <w:r w:rsidRPr="005D4912">
              <w:rPr>
                <w:rFonts w:eastAsia="Times New Roman" w:cs="Arial"/>
                <w:shd w:val="clear" w:color="auto" w:fill="FFFFFF"/>
              </w:rPr>
              <w:t>polymer electrolyte membrane</w:t>
            </w:r>
            <w:r w:rsidRPr="005D4912">
              <w:rPr>
                <w:rFonts w:eastAsia="Times New Roman" w:cs="Arial"/>
              </w:rPr>
              <w:t xml:space="preserve"> PEM fuel cell</w:t>
            </w:r>
            <w:r w:rsidR="00680AEE">
              <w:rPr>
                <w:rFonts w:eastAsia="Times New Roman" w:cs="Arial"/>
              </w:rPr>
              <w:t xml:space="preserve">. </w:t>
            </w:r>
            <w:r w:rsidRPr="005D4912">
              <w:rPr>
                <w:rFonts w:eastAsia="Times New Roman" w:cs="Arial"/>
              </w:rPr>
              <w:t>Since these fuel cells are operated at high temperatures (600-1000˚C), the incentives include higher efficiencies; more flexible and simplified fuel processing and use of inexpensive catalysts</w:t>
            </w:r>
            <w:r w:rsidR="00680AEE">
              <w:rPr>
                <w:rFonts w:eastAsia="Times New Roman" w:cs="Arial"/>
              </w:rPr>
              <w:t xml:space="preserve">. </w:t>
            </w:r>
            <w:r w:rsidRPr="005D4912">
              <w:rPr>
                <w:rFonts w:eastAsia="Times New Roman" w:cs="Arial"/>
              </w:rPr>
              <w:t>Also, by-producing heat at these high temperatures, there are more applications than phosphoric acid systems, such as cogeneration and incorporation of a bottoming cycle</w:t>
            </w:r>
            <w:r w:rsidR="00680AEE">
              <w:rPr>
                <w:rFonts w:eastAsia="Times New Roman" w:cs="Arial"/>
              </w:rPr>
              <w:t xml:space="preserve">. </w:t>
            </w:r>
            <w:r w:rsidRPr="005D4912">
              <w:rPr>
                <w:rFonts w:eastAsia="Times New Roman" w:cs="Arial"/>
              </w:rPr>
              <w:t>These fuel cells also have potential for use with coal gasification in integrated gasification fuel cell power plants</w:t>
            </w:r>
            <w:r w:rsidR="00680AEE">
              <w:rPr>
                <w:rFonts w:eastAsia="Times New Roman" w:cs="Arial"/>
              </w:rPr>
              <w:t xml:space="preserve">. </w:t>
            </w:r>
            <w:r w:rsidRPr="005D4912">
              <w:rPr>
                <w:rFonts w:eastAsia="Times New Roman" w:cs="Arial"/>
              </w:rPr>
              <w:t>About 40 units are in the field with capacities ranging from 250</w:t>
            </w:r>
            <w:r w:rsidR="00667444">
              <w:rPr>
                <w:rFonts w:eastAsia="Times New Roman" w:cs="Arial"/>
              </w:rPr>
              <w:t xml:space="preserve"> </w:t>
            </w:r>
            <w:r w:rsidRPr="005D4912">
              <w:rPr>
                <w:rFonts w:eastAsia="Times New Roman" w:cs="Arial"/>
              </w:rPr>
              <w:t>kW to 1 MW</w:t>
            </w:r>
            <w:r w:rsidR="00680AEE">
              <w:rPr>
                <w:rFonts w:eastAsia="Times New Roman" w:cs="Arial"/>
              </w:rPr>
              <w:t xml:space="preserve">. </w:t>
            </w:r>
            <w:r w:rsidRPr="005D4912">
              <w:rPr>
                <w:rFonts w:eastAsia="Times New Roman" w:cs="Arial"/>
              </w:rPr>
              <w:t>Cost, material selection under high temperature operation, and cell durability remain important issues</w:t>
            </w:r>
            <w:r w:rsidR="00680AEE">
              <w:rPr>
                <w:rFonts w:eastAsia="Times New Roman" w:cs="Arial"/>
              </w:rPr>
              <w:t xml:space="preserve">. </w:t>
            </w:r>
            <w:r w:rsidRPr="005D4912">
              <w:rPr>
                <w:rFonts w:eastAsia="Times New Roman" w:cs="Arial"/>
              </w:rPr>
              <w:t xml:space="preserve">Fuel Cell Energy is the only commercializer in the </w:t>
            </w:r>
            <w:r w:rsidR="007136B4">
              <w:rPr>
                <w:rFonts w:eastAsia="Times New Roman" w:cs="Arial"/>
              </w:rPr>
              <w:t>United States</w:t>
            </w:r>
            <w:r w:rsidRPr="005D4912">
              <w:rPr>
                <w:rFonts w:eastAsia="Times New Roman" w:cs="Arial"/>
              </w:rPr>
              <w:t xml:space="preserve"> for MCFC technology</w:t>
            </w:r>
            <w:r w:rsidR="00680AEE">
              <w:rPr>
                <w:rFonts w:eastAsia="Times New Roman" w:cs="Arial"/>
              </w:rPr>
              <w:t xml:space="preserve">. </w:t>
            </w:r>
            <w:r w:rsidRPr="005D4912">
              <w:rPr>
                <w:rFonts w:eastAsia="Times New Roman" w:cs="Arial"/>
              </w:rPr>
              <w:t>SOFCs are also moving up on the technology maturity curve, but they are at least a couple years behind the MCFC</w:t>
            </w:r>
            <w:r w:rsidR="00680AEE">
              <w:rPr>
                <w:rFonts w:eastAsia="Times New Roman" w:cs="Arial"/>
              </w:rPr>
              <w:t xml:space="preserve">. </w:t>
            </w:r>
            <w:r w:rsidRPr="005D4912">
              <w:rPr>
                <w:rFonts w:eastAsia="Times New Roman" w:cs="Arial"/>
              </w:rPr>
              <w:t>However, their long-term cost projection is lower than that of MCFC</w:t>
            </w:r>
            <w:r w:rsidR="00680AEE">
              <w:rPr>
                <w:rFonts w:eastAsia="Times New Roman" w:cs="Arial"/>
              </w:rPr>
              <w:t xml:space="preserve">. </w:t>
            </w:r>
            <w:r w:rsidRPr="005D4912">
              <w:rPr>
                <w:rFonts w:eastAsia="Times New Roman" w:cs="Arial"/>
              </w:rPr>
              <w:t>Environmental characteristics are expected to be excellent for all fuel cell technologies.</w:t>
            </w:r>
          </w:p>
        </w:tc>
        <w:tc>
          <w:tcPr>
            <w:tcW w:w="1325" w:type="pct"/>
            <w:shd w:val="clear" w:color="auto" w:fill="auto"/>
            <w:vAlign w:val="center"/>
            <w:hideMark/>
          </w:tcPr>
          <w:p w14:paraId="5F6BD1A7"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3323F1FE" w14:textId="77777777" w:rsidTr="00130D6C">
        <w:trPr>
          <w:cantSplit/>
          <w:trHeight w:val="2535"/>
        </w:trPr>
        <w:tc>
          <w:tcPr>
            <w:tcW w:w="1437" w:type="pct"/>
            <w:shd w:val="clear" w:color="auto" w:fill="auto"/>
            <w:vAlign w:val="center"/>
            <w:hideMark/>
          </w:tcPr>
          <w:p w14:paraId="0AB22A6E" w14:textId="6DDD388D" w:rsidR="00130D6C" w:rsidRPr="005D4912" w:rsidRDefault="00130D6C" w:rsidP="00130D6C">
            <w:pPr>
              <w:spacing w:after="0" w:line="240" w:lineRule="auto"/>
              <w:jc w:val="left"/>
              <w:rPr>
                <w:rFonts w:eastAsia="Times New Roman" w:cs="Arial"/>
              </w:rPr>
            </w:pPr>
            <w:r w:rsidRPr="005D4912">
              <w:rPr>
                <w:rFonts w:eastAsia="Times New Roman" w:cs="Arial"/>
              </w:rPr>
              <w:t>1</w:t>
            </w:r>
            <w:r>
              <w:rPr>
                <w:rFonts w:eastAsia="Times New Roman" w:cs="Arial"/>
              </w:rPr>
              <w:t>5</w:t>
            </w:r>
            <w:r w:rsidRPr="005D4912">
              <w:rPr>
                <w:rFonts w:eastAsia="Times New Roman" w:cs="Arial"/>
              </w:rPr>
              <w:t>. Fuel Cell CC (“FCCC”)</w:t>
            </w:r>
          </w:p>
        </w:tc>
        <w:tc>
          <w:tcPr>
            <w:tcW w:w="2238" w:type="pct"/>
            <w:shd w:val="clear" w:color="auto" w:fill="auto"/>
            <w:vAlign w:val="center"/>
            <w:hideMark/>
          </w:tcPr>
          <w:p w14:paraId="701267C5" w14:textId="0435407D" w:rsidR="00130D6C" w:rsidRPr="005D4912" w:rsidRDefault="00130D6C" w:rsidP="00130D6C">
            <w:pPr>
              <w:spacing w:after="0" w:line="240" w:lineRule="auto"/>
              <w:jc w:val="left"/>
              <w:rPr>
                <w:rFonts w:eastAsia="Times New Roman" w:cs="Arial"/>
              </w:rPr>
            </w:pPr>
            <w:r w:rsidRPr="005D4912">
              <w:rPr>
                <w:rFonts w:eastAsia="Times New Roman" w:cs="Arial"/>
              </w:rPr>
              <w:t>See Advanced High Temperature Fuel Cells</w:t>
            </w:r>
            <w:r w:rsidR="00680AEE">
              <w:rPr>
                <w:rFonts w:eastAsia="Times New Roman" w:cs="Arial"/>
              </w:rPr>
              <w:t xml:space="preserve">. </w:t>
            </w:r>
            <w:r w:rsidRPr="005D4912">
              <w:rPr>
                <w:rFonts w:eastAsia="Times New Roman" w:cs="Arial"/>
              </w:rPr>
              <w:t>By-product heat from MCFC or SOFC can be used in bottoming cycles to produce additional power</w:t>
            </w:r>
            <w:r w:rsidR="00680AEE">
              <w:rPr>
                <w:rFonts w:eastAsia="Times New Roman" w:cs="Arial"/>
              </w:rPr>
              <w:t xml:space="preserve">. </w:t>
            </w:r>
            <w:r w:rsidRPr="005D4912">
              <w:rPr>
                <w:rFonts w:eastAsia="Times New Roman" w:cs="Arial"/>
              </w:rPr>
              <w:t xml:space="preserve">Siemens demonstrated a pressurized 220 KW SOFC/Micro-tubular (“MT”) hybrid in </w:t>
            </w:r>
            <w:r w:rsidR="00FE2448">
              <w:rPr>
                <w:rFonts w:eastAsia="Times New Roman" w:cs="Arial"/>
              </w:rPr>
              <w:t>California</w:t>
            </w:r>
            <w:r w:rsidRPr="005D4912">
              <w:rPr>
                <w:rFonts w:eastAsia="Times New Roman" w:cs="Arial"/>
              </w:rPr>
              <w:t>. and achieved 52% efficiency even though the system was not optimized</w:t>
            </w:r>
            <w:r w:rsidR="00680AEE">
              <w:rPr>
                <w:rFonts w:eastAsia="Times New Roman" w:cs="Arial"/>
              </w:rPr>
              <w:t xml:space="preserve">. </w:t>
            </w:r>
            <w:r w:rsidRPr="005D4912">
              <w:rPr>
                <w:rFonts w:eastAsia="Times New Roman" w:cs="Arial"/>
              </w:rPr>
              <w:t>FuelCell Energy is also testing an atmospheric MCFC/MT hybrid system</w:t>
            </w:r>
            <w:r w:rsidR="00680AEE">
              <w:rPr>
                <w:rFonts w:eastAsia="Times New Roman" w:cs="Arial"/>
              </w:rPr>
              <w:t xml:space="preserve">. </w:t>
            </w:r>
            <w:r w:rsidRPr="005D4912">
              <w:rPr>
                <w:rFonts w:eastAsia="Times New Roman" w:cs="Arial"/>
              </w:rPr>
              <w:t>DOE Vision 21 power plant highlights such system at efficiency of 60-70% (80-90% with thermal) with 0 air pollutants and CO</w:t>
            </w:r>
            <w:r w:rsidRPr="00856021">
              <w:rPr>
                <w:rFonts w:eastAsia="Times New Roman" w:cs="Arial"/>
                <w:vertAlign w:val="subscript"/>
              </w:rPr>
              <w:t>2</w:t>
            </w:r>
            <w:r w:rsidRPr="005D4912">
              <w:rPr>
                <w:rFonts w:eastAsia="Times New Roman" w:cs="Arial"/>
              </w:rPr>
              <w:t xml:space="preserve"> (with sequestration) by 2015</w:t>
            </w:r>
            <w:r w:rsidR="00680AEE">
              <w:rPr>
                <w:rFonts w:eastAsia="Times New Roman" w:cs="Arial"/>
              </w:rPr>
              <w:t xml:space="preserve">. </w:t>
            </w:r>
            <w:r w:rsidRPr="005D4912">
              <w:rPr>
                <w:rFonts w:eastAsia="Times New Roman" w:cs="Arial"/>
              </w:rPr>
              <w:t>The costs from such a system should be at par with market rate.</w:t>
            </w:r>
          </w:p>
        </w:tc>
        <w:tc>
          <w:tcPr>
            <w:tcW w:w="1325" w:type="pct"/>
            <w:shd w:val="clear" w:color="auto" w:fill="auto"/>
            <w:vAlign w:val="center"/>
            <w:hideMark/>
          </w:tcPr>
          <w:p w14:paraId="0D23D80C"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the level of development and cost uncertainties.</w:t>
            </w:r>
          </w:p>
        </w:tc>
      </w:tr>
      <w:tr w:rsidR="00130D6C" w:rsidRPr="005D4912" w14:paraId="4A271FA0" w14:textId="77777777" w:rsidTr="00130D6C">
        <w:trPr>
          <w:cantSplit/>
          <w:trHeight w:val="1905"/>
        </w:trPr>
        <w:tc>
          <w:tcPr>
            <w:tcW w:w="1437" w:type="pct"/>
            <w:shd w:val="clear" w:color="auto" w:fill="auto"/>
            <w:vAlign w:val="center"/>
            <w:hideMark/>
          </w:tcPr>
          <w:p w14:paraId="05076881" w14:textId="5ACF5D2D" w:rsidR="00130D6C" w:rsidRPr="005D4912" w:rsidRDefault="00130D6C" w:rsidP="00130D6C">
            <w:pPr>
              <w:spacing w:after="0" w:line="240" w:lineRule="auto"/>
              <w:jc w:val="left"/>
              <w:rPr>
                <w:rFonts w:eastAsia="Times New Roman" w:cs="Arial"/>
              </w:rPr>
            </w:pPr>
            <w:r w:rsidRPr="005D4912">
              <w:rPr>
                <w:rFonts w:eastAsia="Times New Roman" w:cs="Arial"/>
              </w:rPr>
              <w:t>1</w:t>
            </w:r>
            <w:r>
              <w:rPr>
                <w:rFonts w:eastAsia="Times New Roman" w:cs="Arial"/>
              </w:rPr>
              <w:t>6</w:t>
            </w:r>
            <w:r w:rsidRPr="005D4912">
              <w:rPr>
                <w:rFonts w:eastAsia="Times New Roman" w:cs="Arial"/>
              </w:rPr>
              <w:t>. Reciprocating Engines</w:t>
            </w:r>
          </w:p>
        </w:tc>
        <w:tc>
          <w:tcPr>
            <w:tcW w:w="2238" w:type="pct"/>
            <w:shd w:val="clear" w:color="auto" w:fill="auto"/>
            <w:vAlign w:val="center"/>
            <w:hideMark/>
          </w:tcPr>
          <w:p w14:paraId="0840DE6E" w14:textId="77403C2E" w:rsidR="00130D6C" w:rsidRPr="005D4912" w:rsidRDefault="00130D6C" w:rsidP="00130D6C">
            <w:pPr>
              <w:spacing w:after="0" w:line="240" w:lineRule="auto"/>
              <w:jc w:val="left"/>
              <w:rPr>
                <w:rFonts w:eastAsia="Times New Roman" w:cs="Arial"/>
              </w:rPr>
            </w:pPr>
            <w:r w:rsidRPr="005D4912">
              <w:rPr>
                <w:rFonts w:eastAsia="Times New Roman" w:cs="Arial"/>
              </w:rPr>
              <w:t>Diesel or gas fired generators could potentially have economics competitive with CTs at very low capacity factors and for dispersed applications</w:t>
            </w:r>
            <w:r w:rsidR="00680AEE">
              <w:rPr>
                <w:rFonts w:eastAsia="Times New Roman" w:cs="Arial"/>
              </w:rPr>
              <w:t xml:space="preserve">. </w:t>
            </w:r>
            <w:r w:rsidRPr="005D4912">
              <w:rPr>
                <w:rFonts w:eastAsia="Times New Roman" w:cs="Arial"/>
              </w:rPr>
              <w:t>Natural gas fired reciprocating engines are emerging in niche markets around the world, mostly in co-generation applications</w:t>
            </w:r>
            <w:r>
              <w:rPr>
                <w:rFonts w:eastAsia="Times New Roman" w:cs="Arial"/>
              </w:rPr>
              <w:t xml:space="preserve"> and backup/standby generation</w:t>
            </w:r>
            <w:r w:rsidR="00680AEE">
              <w:rPr>
                <w:rFonts w:eastAsia="Times New Roman" w:cs="Arial"/>
              </w:rPr>
              <w:t xml:space="preserve">. </w:t>
            </w:r>
            <w:r w:rsidRPr="005D4912">
              <w:rPr>
                <w:rFonts w:eastAsia="Times New Roman" w:cs="Arial"/>
              </w:rPr>
              <w:t>The current trend is towards larger systems with heat recovery and/or chillers</w:t>
            </w:r>
            <w:r w:rsidR="00680AEE">
              <w:rPr>
                <w:rFonts w:eastAsia="Times New Roman" w:cs="Arial"/>
              </w:rPr>
              <w:t xml:space="preserve">. </w:t>
            </w:r>
            <w:r w:rsidRPr="005D4912">
              <w:rPr>
                <w:rFonts w:eastAsia="Times New Roman" w:cs="Arial"/>
              </w:rPr>
              <w:t>There are environmental concerns due to relatively high emission rates for certain pollutants when burning diesel fuel.</w:t>
            </w:r>
          </w:p>
        </w:tc>
        <w:tc>
          <w:tcPr>
            <w:tcW w:w="1325" w:type="pct"/>
            <w:shd w:val="clear" w:color="auto" w:fill="auto"/>
            <w:vAlign w:val="center"/>
            <w:hideMark/>
          </w:tcPr>
          <w:p w14:paraId="3BA1D2F7"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17DE2DC8" w14:textId="77777777" w:rsidTr="00130D6C">
        <w:trPr>
          <w:cantSplit/>
          <w:trHeight w:val="1905"/>
        </w:trPr>
        <w:tc>
          <w:tcPr>
            <w:tcW w:w="1437" w:type="pct"/>
            <w:shd w:val="clear" w:color="auto" w:fill="auto"/>
            <w:vAlign w:val="center"/>
            <w:hideMark/>
          </w:tcPr>
          <w:p w14:paraId="59F52B6B" w14:textId="60366D2C" w:rsidR="00130D6C" w:rsidRPr="005D4912" w:rsidRDefault="00130D6C" w:rsidP="00130D6C">
            <w:pPr>
              <w:spacing w:after="0" w:line="240" w:lineRule="auto"/>
              <w:jc w:val="left"/>
              <w:rPr>
                <w:rFonts w:eastAsia="Times New Roman" w:cs="Arial"/>
              </w:rPr>
            </w:pPr>
            <w:r w:rsidRPr="005D4912">
              <w:rPr>
                <w:rFonts w:eastAsia="Times New Roman" w:cs="Arial"/>
              </w:rPr>
              <w:t>1</w:t>
            </w:r>
            <w:r>
              <w:rPr>
                <w:rFonts w:eastAsia="Times New Roman" w:cs="Arial"/>
              </w:rPr>
              <w:t>7</w:t>
            </w:r>
            <w:r w:rsidRPr="005D4912">
              <w:rPr>
                <w:rFonts w:eastAsia="Times New Roman" w:cs="Arial"/>
              </w:rPr>
              <w:t>. Microturbines</w:t>
            </w:r>
          </w:p>
        </w:tc>
        <w:tc>
          <w:tcPr>
            <w:tcW w:w="2238" w:type="pct"/>
            <w:shd w:val="clear" w:color="auto" w:fill="auto"/>
            <w:vAlign w:val="center"/>
            <w:hideMark/>
          </w:tcPr>
          <w:p w14:paraId="2D8F9019" w14:textId="77777777" w:rsidR="00130D6C" w:rsidRPr="005D4912" w:rsidRDefault="00130D6C" w:rsidP="00130D6C">
            <w:pPr>
              <w:spacing w:after="0" w:line="240" w:lineRule="auto"/>
              <w:jc w:val="left"/>
              <w:rPr>
                <w:rFonts w:eastAsia="Times New Roman" w:cs="Arial"/>
              </w:rPr>
            </w:pPr>
            <w:r w:rsidRPr="005D4912">
              <w:rPr>
                <w:rFonts w:eastAsia="Times New Roman" w:cs="Arial"/>
              </w:rPr>
              <w:t>Microturbines could potentially have economics competitive with CTs at very low capacity factors and for dispersed applications. Microturbines are emerging in niche markets around the world, mostly in co-generation applications. The current trend is towards larger systems with heat recovery and/or chillers. There are environmental concerns due to relatively high emission rates for certain pollutants when burning diesel fuel.</w:t>
            </w:r>
          </w:p>
        </w:tc>
        <w:tc>
          <w:tcPr>
            <w:tcW w:w="1325" w:type="pct"/>
            <w:shd w:val="clear" w:color="auto" w:fill="auto"/>
            <w:vAlign w:val="center"/>
            <w:hideMark/>
          </w:tcPr>
          <w:p w14:paraId="7797DBF5" w14:textId="65197A11"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76A500E0" w14:textId="77777777" w:rsidTr="00130D6C">
        <w:trPr>
          <w:cantSplit/>
          <w:trHeight w:val="1905"/>
        </w:trPr>
        <w:tc>
          <w:tcPr>
            <w:tcW w:w="1437" w:type="pct"/>
            <w:shd w:val="clear" w:color="auto" w:fill="auto"/>
            <w:vAlign w:val="center"/>
            <w:hideMark/>
          </w:tcPr>
          <w:p w14:paraId="418F1B29" w14:textId="65473249" w:rsidR="00130D6C" w:rsidRPr="005D4912" w:rsidRDefault="00130D6C" w:rsidP="00130D6C">
            <w:pPr>
              <w:spacing w:after="0" w:line="240" w:lineRule="auto"/>
              <w:jc w:val="left"/>
              <w:rPr>
                <w:rFonts w:eastAsia="Times New Roman" w:cs="Arial"/>
              </w:rPr>
            </w:pPr>
            <w:r>
              <w:rPr>
                <w:rFonts w:eastAsia="Times New Roman" w:cs="Arial"/>
              </w:rPr>
              <w:t>18</w:t>
            </w:r>
            <w:r w:rsidR="009649EE">
              <w:rPr>
                <w:rFonts w:eastAsia="Times New Roman" w:cs="Arial"/>
              </w:rPr>
              <w:t>. Pumped Storage Hydro</w:t>
            </w:r>
          </w:p>
        </w:tc>
        <w:tc>
          <w:tcPr>
            <w:tcW w:w="2238" w:type="pct"/>
            <w:shd w:val="clear" w:color="auto" w:fill="auto"/>
            <w:vAlign w:val="center"/>
            <w:hideMark/>
          </w:tcPr>
          <w:p w14:paraId="2A11D501" w14:textId="2CFB7F39" w:rsidR="00130D6C" w:rsidRPr="005D4912" w:rsidRDefault="00130D6C" w:rsidP="00130D6C">
            <w:pPr>
              <w:spacing w:after="0" w:line="240" w:lineRule="auto"/>
              <w:jc w:val="left"/>
              <w:rPr>
                <w:rFonts w:eastAsia="Times New Roman" w:cs="Arial"/>
              </w:rPr>
            </w:pPr>
            <w:r w:rsidRPr="005D4912">
              <w:rPr>
                <w:rFonts w:eastAsia="Times New Roman" w:cs="Arial"/>
              </w:rPr>
              <w:t xml:space="preserve">Pumped </w:t>
            </w:r>
            <w:r w:rsidR="009649EE">
              <w:rPr>
                <w:rFonts w:eastAsia="Times New Roman" w:cs="Arial"/>
              </w:rPr>
              <w:t>hydro</w:t>
            </w:r>
            <w:r w:rsidRPr="005D4912">
              <w:rPr>
                <w:rFonts w:eastAsia="Times New Roman" w:cs="Arial"/>
              </w:rPr>
              <w:t xml:space="preserve"> energy storage is a large, mature, and commercial utility-scale technology used at many locations in the </w:t>
            </w:r>
            <w:r w:rsidR="007136B4">
              <w:rPr>
                <w:rFonts w:eastAsia="Times New Roman" w:cs="Arial"/>
              </w:rPr>
              <w:t>United States</w:t>
            </w:r>
            <w:r w:rsidRPr="005D4912">
              <w:rPr>
                <w:rFonts w:eastAsia="Times New Roman" w:cs="Arial"/>
              </w:rPr>
              <w:t xml:space="preserve"> and around the world</w:t>
            </w:r>
            <w:r w:rsidR="00680AEE">
              <w:rPr>
                <w:rFonts w:eastAsia="Times New Roman" w:cs="Arial"/>
              </w:rPr>
              <w:t xml:space="preserve">. </w:t>
            </w:r>
            <w:r w:rsidRPr="005D4912">
              <w:rPr>
                <w:rFonts w:eastAsia="Times New Roman" w:cs="Arial"/>
              </w:rPr>
              <w:t xml:space="preserve">Southern Company currently applies this technology on its </w:t>
            </w:r>
            <w:r w:rsidR="00643CE8">
              <w:rPr>
                <w:rFonts w:eastAsia="Times New Roman" w:cs="Arial"/>
              </w:rPr>
              <w:t>S</w:t>
            </w:r>
            <w:r w:rsidRPr="005D4912">
              <w:rPr>
                <w:rFonts w:eastAsia="Times New Roman" w:cs="Arial"/>
              </w:rPr>
              <w:t>ystem</w:t>
            </w:r>
            <w:r w:rsidR="00680AEE">
              <w:rPr>
                <w:rFonts w:eastAsia="Times New Roman" w:cs="Arial"/>
              </w:rPr>
              <w:t xml:space="preserve">. </w:t>
            </w:r>
            <w:r w:rsidRPr="005D4912">
              <w:rPr>
                <w:rFonts w:eastAsia="Times New Roman" w:cs="Arial"/>
              </w:rPr>
              <w:t>This application has the highest capacity of the energy storage technologies assessed, since its size is limited only by the size of the available upper reservoir</w:t>
            </w:r>
            <w:r w:rsidR="00680AEE">
              <w:rPr>
                <w:rFonts w:eastAsia="Times New Roman" w:cs="Arial"/>
              </w:rPr>
              <w:t xml:space="preserve">. </w:t>
            </w:r>
            <w:r w:rsidRPr="005D4912">
              <w:rPr>
                <w:rFonts w:eastAsia="Times New Roman" w:cs="Arial"/>
              </w:rPr>
              <w:t>Facilities of this type must deal with environmental issues related to land use and the availability of the water source.</w:t>
            </w:r>
          </w:p>
        </w:tc>
        <w:tc>
          <w:tcPr>
            <w:tcW w:w="1325" w:type="pct"/>
            <w:shd w:val="clear" w:color="auto" w:fill="auto"/>
            <w:vAlign w:val="center"/>
            <w:hideMark/>
          </w:tcPr>
          <w:p w14:paraId="09254A6E"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RETAINED </w:t>
            </w:r>
            <w:r w:rsidRPr="005D4912">
              <w:rPr>
                <w:rFonts w:eastAsia="Times New Roman" w:cs="Arial"/>
                <w:bCs/>
              </w:rPr>
              <w:t>for further screening.</w:t>
            </w:r>
          </w:p>
        </w:tc>
      </w:tr>
      <w:tr w:rsidR="00130D6C" w:rsidRPr="005D4912" w14:paraId="0288187B" w14:textId="77777777" w:rsidTr="00130D6C">
        <w:trPr>
          <w:cantSplit/>
          <w:trHeight w:val="1920"/>
        </w:trPr>
        <w:tc>
          <w:tcPr>
            <w:tcW w:w="1437" w:type="pct"/>
            <w:shd w:val="clear" w:color="auto" w:fill="auto"/>
            <w:vAlign w:val="center"/>
            <w:hideMark/>
          </w:tcPr>
          <w:p w14:paraId="331F83F1" w14:textId="534AD420" w:rsidR="00130D6C" w:rsidRPr="005D4912" w:rsidRDefault="00130D6C" w:rsidP="00130D6C">
            <w:pPr>
              <w:spacing w:after="0" w:line="240" w:lineRule="auto"/>
              <w:jc w:val="left"/>
              <w:rPr>
                <w:rFonts w:eastAsia="Times New Roman" w:cs="Arial"/>
              </w:rPr>
            </w:pPr>
            <w:r>
              <w:rPr>
                <w:rFonts w:eastAsia="Times New Roman" w:cs="Arial"/>
              </w:rPr>
              <w:t>19</w:t>
            </w:r>
            <w:r w:rsidRPr="005D4912">
              <w:rPr>
                <w:rFonts w:eastAsia="Times New Roman" w:cs="Arial"/>
              </w:rPr>
              <w:t>. Underground Pumped Storage Hydro (“UPH”)</w:t>
            </w:r>
          </w:p>
        </w:tc>
        <w:tc>
          <w:tcPr>
            <w:tcW w:w="2238" w:type="pct"/>
            <w:shd w:val="clear" w:color="auto" w:fill="auto"/>
            <w:vAlign w:val="center"/>
            <w:hideMark/>
          </w:tcPr>
          <w:p w14:paraId="5B15840C" w14:textId="2421831D" w:rsidR="00130D6C" w:rsidRPr="005D4912" w:rsidRDefault="00130D6C" w:rsidP="00130D6C">
            <w:pPr>
              <w:spacing w:after="0" w:line="240" w:lineRule="auto"/>
              <w:jc w:val="left"/>
              <w:rPr>
                <w:rFonts w:eastAsia="Times New Roman" w:cs="Arial"/>
              </w:rPr>
            </w:pPr>
            <w:r w:rsidRPr="005D4912">
              <w:rPr>
                <w:rFonts w:eastAsia="Times New Roman" w:cs="Arial"/>
              </w:rPr>
              <w:t>Underground pumped storage hydro could avert the environmental and licensing problems of conventional above ground facilities</w:t>
            </w:r>
            <w:r w:rsidR="00680AEE">
              <w:rPr>
                <w:rFonts w:eastAsia="Times New Roman" w:cs="Arial"/>
              </w:rPr>
              <w:t xml:space="preserve">. </w:t>
            </w:r>
            <w:r w:rsidRPr="005D4912">
              <w:rPr>
                <w:rFonts w:eastAsia="Times New Roman" w:cs="Arial"/>
              </w:rPr>
              <w:t>The high excavation costs and long lead times of UPH significantly reduce its attractiveness</w:t>
            </w:r>
            <w:r w:rsidR="00680AEE">
              <w:rPr>
                <w:rFonts w:eastAsia="Times New Roman" w:cs="Arial"/>
              </w:rPr>
              <w:t xml:space="preserve">. </w:t>
            </w:r>
            <w:r w:rsidRPr="005D4912">
              <w:rPr>
                <w:rFonts w:eastAsia="Times New Roman" w:cs="Arial"/>
              </w:rPr>
              <w:t>Gravity Power, LLC is also developing an underground pumped hydro based on a large piston/cylinder assembly.</w:t>
            </w:r>
          </w:p>
        </w:tc>
        <w:tc>
          <w:tcPr>
            <w:tcW w:w="1325" w:type="pct"/>
            <w:shd w:val="clear" w:color="auto" w:fill="auto"/>
            <w:vAlign w:val="center"/>
            <w:hideMark/>
          </w:tcPr>
          <w:p w14:paraId="6377B5D8"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high cost and stage of technology development.</w:t>
            </w:r>
          </w:p>
        </w:tc>
      </w:tr>
      <w:tr w:rsidR="00130D6C" w:rsidRPr="005D4912" w14:paraId="68D61311" w14:textId="77777777" w:rsidTr="00130D6C">
        <w:trPr>
          <w:cantSplit/>
          <w:trHeight w:val="2790"/>
        </w:trPr>
        <w:tc>
          <w:tcPr>
            <w:tcW w:w="1437" w:type="pct"/>
            <w:shd w:val="clear" w:color="auto" w:fill="auto"/>
            <w:vAlign w:val="center"/>
            <w:hideMark/>
          </w:tcPr>
          <w:p w14:paraId="3A1FE792" w14:textId="0CE5EE1C" w:rsidR="00130D6C" w:rsidRPr="005D4912" w:rsidRDefault="00130D6C" w:rsidP="00130D6C">
            <w:pPr>
              <w:spacing w:after="0" w:line="240" w:lineRule="auto"/>
              <w:jc w:val="left"/>
              <w:rPr>
                <w:rFonts w:eastAsia="Times New Roman" w:cs="Arial"/>
              </w:rPr>
            </w:pPr>
            <w:r>
              <w:rPr>
                <w:rFonts w:eastAsia="Times New Roman" w:cs="Arial"/>
              </w:rPr>
              <w:t>20</w:t>
            </w:r>
            <w:r w:rsidRPr="005D4912">
              <w:rPr>
                <w:rFonts w:eastAsia="Times New Roman" w:cs="Arial"/>
              </w:rPr>
              <w:t>. Compressed Air Energy Storage</w:t>
            </w:r>
            <w:r w:rsidR="005A4027">
              <w:rPr>
                <w:rFonts w:eastAsia="Times New Roman" w:cs="Arial"/>
              </w:rPr>
              <w:t xml:space="preserve"> (“CAES”)</w:t>
            </w:r>
            <w:r w:rsidRPr="005D4912">
              <w:rPr>
                <w:rFonts w:eastAsia="Times New Roman" w:cs="Arial"/>
              </w:rPr>
              <w:t xml:space="preserve"> </w:t>
            </w:r>
            <w:r w:rsidR="00266FFB">
              <w:rPr>
                <w:rFonts w:eastAsia="Times New Roman" w:cs="Arial"/>
              </w:rPr>
              <w:t>–</w:t>
            </w:r>
            <w:r w:rsidRPr="005D4912">
              <w:rPr>
                <w:rFonts w:eastAsia="Times New Roman" w:cs="Arial"/>
              </w:rPr>
              <w:t xml:space="preserve"> Gen I (Brayton Cycle Based)</w:t>
            </w:r>
          </w:p>
        </w:tc>
        <w:tc>
          <w:tcPr>
            <w:tcW w:w="2238" w:type="pct"/>
            <w:shd w:val="clear" w:color="auto" w:fill="auto"/>
            <w:vAlign w:val="center"/>
            <w:hideMark/>
          </w:tcPr>
          <w:p w14:paraId="7503B16B" w14:textId="244DBB79" w:rsidR="00130D6C" w:rsidRPr="005D4912" w:rsidRDefault="00130D6C" w:rsidP="00130D6C">
            <w:pPr>
              <w:spacing w:after="0" w:line="240" w:lineRule="auto"/>
              <w:jc w:val="left"/>
              <w:rPr>
                <w:rFonts w:eastAsia="Times New Roman" w:cs="Arial"/>
              </w:rPr>
            </w:pPr>
            <w:r w:rsidRPr="005D4912">
              <w:rPr>
                <w:rFonts w:eastAsia="Times New Roman" w:cs="Arial"/>
              </w:rPr>
              <w:t>CAES plant hardware is commercially available</w:t>
            </w:r>
            <w:r w:rsidR="00680AEE">
              <w:rPr>
                <w:rFonts w:eastAsia="Times New Roman" w:cs="Arial"/>
              </w:rPr>
              <w:t xml:space="preserve">. </w:t>
            </w:r>
            <w:r w:rsidRPr="005D4912">
              <w:rPr>
                <w:rFonts w:eastAsia="Times New Roman" w:cs="Arial"/>
              </w:rPr>
              <w:t>The first CAES (290 MW) plant was constructed in Germany in 1978</w:t>
            </w:r>
            <w:r w:rsidR="00680AEE">
              <w:rPr>
                <w:rFonts w:eastAsia="Times New Roman" w:cs="Arial"/>
              </w:rPr>
              <w:t xml:space="preserve">. </w:t>
            </w:r>
            <w:r w:rsidRPr="005D4912">
              <w:rPr>
                <w:rFonts w:eastAsia="Times New Roman" w:cs="Arial"/>
              </w:rPr>
              <w:t>A 100 MW plant was constructed by Alabama Electric Cooperative (“</w:t>
            </w:r>
            <w:r>
              <w:rPr>
                <w:rFonts w:eastAsia="Times New Roman" w:cs="Arial"/>
              </w:rPr>
              <w:t>PowerSouth</w:t>
            </w:r>
            <w:r w:rsidRPr="005D4912">
              <w:rPr>
                <w:rFonts w:eastAsia="Times New Roman" w:cs="Arial"/>
              </w:rPr>
              <w:t xml:space="preserve">”) and began commercial operation in June 1991 and is an integral part of </w:t>
            </w:r>
            <w:r>
              <w:rPr>
                <w:rFonts w:eastAsia="Times New Roman" w:cs="Arial"/>
              </w:rPr>
              <w:t>PowerSouth’s</w:t>
            </w:r>
            <w:r w:rsidRPr="005D4912">
              <w:rPr>
                <w:rFonts w:eastAsia="Times New Roman" w:cs="Arial"/>
              </w:rPr>
              <w:t xml:space="preserve"> dispatch</w:t>
            </w:r>
            <w:r w:rsidR="00680AEE">
              <w:rPr>
                <w:rFonts w:eastAsia="Times New Roman" w:cs="Arial"/>
              </w:rPr>
              <w:t xml:space="preserve">. </w:t>
            </w:r>
            <w:r w:rsidRPr="005D4912">
              <w:rPr>
                <w:rFonts w:eastAsia="Times New Roman" w:cs="Arial"/>
              </w:rPr>
              <w:t>CAES cycles can utilize either above ground (low MW) or below ground (high MW) energy storage options</w:t>
            </w:r>
            <w:r w:rsidR="00680AEE">
              <w:rPr>
                <w:rFonts w:eastAsia="Times New Roman" w:cs="Arial"/>
              </w:rPr>
              <w:t xml:space="preserve">. </w:t>
            </w:r>
            <w:r w:rsidRPr="005D4912">
              <w:rPr>
                <w:rFonts w:eastAsia="Times New Roman" w:cs="Arial"/>
              </w:rPr>
              <w:t>The potential for large scale energy storage depends on suitable geology for constructing the air storage reservoir</w:t>
            </w:r>
            <w:r w:rsidR="00680AEE">
              <w:rPr>
                <w:rFonts w:eastAsia="Times New Roman" w:cs="Arial"/>
              </w:rPr>
              <w:t xml:space="preserve">. </w:t>
            </w:r>
            <w:r w:rsidRPr="005D4912">
              <w:rPr>
                <w:rFonts w:eastAsia="Times New Roman" w:cs="Arial"/>
              </w:rPr>
              <w:t>The preferred geology for Southern Company would be salt dome sites in Mississippi and Alabama</w:t>
            </w:r>
            <w:r w:rsidR="00680AEE">
              <w:rPr>
                <w:rFonts w:eastAsia="Times New Roman" w:cs="Arial"/>
              </w:rPr>
              <w:t xml:space="preserve">. </w:t>
            </w:r>
            <w:r w:rsidRPr="005D4912">
              <w:rPr>
                <w:rFonts w:eastAsia="Times New Roman" w:cs="Arial"/>
              </w:rPr>
              <w:t xml:space="preserve">CAES has the potential for better local environmental characteristics than pumped hydro. </w:t>
            </w:r>
          </w:p>
        </w:tc>
        <w:tc>
          <w:tcPr>
            <w:tcW w:w="1325" w:type="pct"/>
            <w:shd w:val="clear" w:color="auto" w:fill="auto"/>
            <w:vAlign w:val="center"/>
            <w:hideMark/>
          </w:tcPr>
          <w:p w14:paraId="29BA3D80"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w:t>
            </w:r>
            <w:r w:rsidRPr="005D4912">
              <w:rPr>
                <w:rFonts w:eastAsia="Times New Roman" w:cs="Arial"/>
                <w:bCs/>
              </w:rPr>
              <w:t>for further screening.</w:t>
            </w:r>
          </w:p>
        </w:tc>
      </w:tr>
      <w:tr w:rsidR="00130D6C" w:rsidRPr="005D4912" w14:paraId="6D9B9685" w14:textId="77777777" w:rsidTr="00130D6C">
        <w:trPr>
          <w:cantSplit/>
          <w:trHeight w:val="3225"/>
        </w:trPr>
        <w:tc>
          <w:tcPr>
            <w:tcW w:w="1437" w:type="pct"/>
            <w:shd w:val="clear" w:color="auto" w:fill="auto"/>
            <w:vAlign w:val="center"/>
            <w:hideMark/>
          </w:tcPr>
          <w:p w14:paraId="77A65C86" w14:textId="13B90293" w:rsidR="00130D6C" w:rsidRPr="005D4912" w:rsidRDefault="00130D6C" w:rsidP="00130D6C">
            <w:pPr>
              <w:spacing w:after="0" w:line="240" w:lineRule="auto"/>
              <w:jc w:val="left"/>
              <w:rPr>
                <w:rFonts w:eastAsia="Times New Roman" w:cs="Arial"/>
              </w:rPr>
            </w:pPr>
            <w:r w:rsidRPr="005D4912">
              <w:rPr>
                <w:rFonts w:eastAsia="Times New Roman" w:cs="Arial"/>
              </w:rPr>
              <w:t>2</w:t>
            </w:r>
            <w:r>
              <w:rPr>
                <w:rFonts w:eastAsia="Times New Roman" w:cs="Arial"/>
              </w:rPr>
              <w:t>1</w:t>
            </w:r>
            <w:r w:rsidRPr="005D4912">
              <w:rPr>
                <w:rFonts w:eastAsia="Times New Roman" w:cs="Arial"/>
              </w:rPr>
              <w:t xml:space="preserve">. CAES </w:t>
            </w:r>
            <w:r w:rsidR="00266FFB">
              <w:rPr>
                <w:rFonts w:eastAsia="Times New Roman" w:cs="Arial"/>
              </w:rPr>
              <w:t>–</w:t>
            </w:r>
            <w:r w:rsidRPr="005D4912">
              <w:rPr>
                <w:rFonts w:eastAsia="Times New Roman" w:cs="Arial"/>
              </w:rPr>
              <w:t xml:space="preserve"> Gen II (CT Based)</w:t>
            </w:r>
          </w:p>
        </w:tc>
        <w:tc>
          <w:tcPr>
            <w:tcW w:w="2238" w:type="pct"/>
            <w:shd w:val="clear" w:color="auto" w:fill="auto"/>
            <w:vAlign w:val="center"/>
            <w:hideMark/>
          </w:tcPr>
          <w:p w14:paraId="4438695B" w14:textId="39504CBD" w:rsidR="00130D6C" w:rsidRPr="005D4912" w:rsidRDefault="00130D6C" w:rsidP="00130D6C">
            <w:pPr>
              <w:spacing w:after="0" w:line="240" w:lineRule="auto"/>
              <w:jc w:val="left"/>
              <w:rPr>
                <w:rFonts w:eastAsia="Times New Roman" w:cs="Arial"/>
              </w:rPr>
            </w:pPr>
            <w:r w:rsidRPr="005D4912">
              <w:rPr>
                <w:rFonts w:eastAsia="Times New Roman" w:cs="Arial"/>
              </w:rPr>
              <w:t>CAES plant hardware is commercially available</w:t>
            </w:r>
            <w:r w:rsidR="00680AEE">
              <w:rPr>
                <w:rFonts w:eastAsia="Times New Roman" w:cs="Arial"/>
              </w:rPr>
              <w:t xml:space="preserve">. </w:t>
            </w:r>
            <w:r w:rsidRPr="005D4912">
              <w:rPr>
                <w:rFonts w:eastAsia="Times New Roman" w:cs="Arial"/>
              </w:rPr>
              <w:t>Generation II CAES is a newer design iteration of traditional CAES designs which utilizes a CT and an exhaust heat exchanger to heat the air in the expansion cycle, rather than an integral combustion system</w:t>
            </w:r>
            <w:r w:rsidR="00680AEE">
              <w:rPr>
                <w:rFonts w:eastAsia="Times New Roman" w:cs="Arial"/>
              </w:rPr>
              <w:t xml:space="preserve">. </w:t>
            </w:r>
            <w:r w:rsidRPr="005D4912">
              <w:rPr>
                <w:rFonts w:eastAsia="Times New Roman" w:cs="Arial"/>
              </w:rPr>
              <w:t>This design appears to be more economically favorable than Generation I</w:t>
            </w:r>
            <w:r w:rsidR="00680AEE">
              <w:rPr>
                <w:rFonts w:eastAsia="Times New Roman" w:cs="Arial"/>
              </w:rPr>
              <w:t xml:space="preserve">. </w:t>
            </w:r>
            <w:r w:rsidRPr="005D4912">
              <w:rPr>
                <w:rFonts w:eastAsia="Times New Roman" w:cs="Arial"/>
              </w:rPr>
              <w:t>Although subsystems have been proven, this cycle has yet to be demonstrated as an integrated system</w:t>
            </w:r>
            <w:r w:rsidR="00680AEE">
              <w:rPr>
                <w:rFonts w:eastAsia="Times New Roman" w:cs="Arial"/>
              </w:rPr>
              <w:t xml:space="preserve">. </w:t>
            </w:r>
            <w:r w:rsidRPr="005D4912">
              <w:rPr>
                <w:rFonts w:eastAsia="Times New Roman" w:cs="Arial"/>
              </w:rPr>
              <w:t>CAES cycles can utilize either above ground (low MW) or below ground (high MW) energy storage options</w:t>
            </w:r>
            <w:r w:rsidR="00680AEE">
              <w:rPr>
                <w:rFonts w:eastAsia="Times New Roman" w:cs="Arial"/>
              </w:rPr>
              <w:t xml:space="preserve">. </w:t>
            </w:r>
            <w:r w:rsidRPr="005D4912">
              <w:rPr>
                <w:rFonts w:eastAsia="Times New Roman" w:cs="Arial"/>
              </w:rPr>
              <w:t>The potential for large scale energy storage depends on suitable geology for constructing the air storage reservoir</w:t>
            </w:r>
            <w:r w:rsidR="00680AEE">
              <w:rPr>
                <w:rFonts w:eastAsia="Times New Roman" w:cs="Arial"/>
              </w:rPr>
              <w:t xml:space="preserve">. </w:t>
            </w:r>
            <w:r w:rsidRPr="005D4912">
              <w:rPr>
                <w:rFonts w:eastAsia="Times New Roman" w:cs="Arial"/>
              </w:rPr>
              <w:t>The preferred geology for Southern Company would be salt dome sites in Mississippi and Alabama</w:t>
            </w:r>
            <w:r w:rsidR="00680AEE">
              <w:rPr>
                <w:rFonts w:eastAsia="Times New Roman" w:cs="Arial"/>
              </w:rPr>
              <w:t xml:space="preserve">. </w:t>
            </w:r>
            <w:r w:rsidRPr="005D4912">
              <w:rPr>
                <w:rFonts w:eastAsia="Times New Roman" w:cs="Arial"/>
              </w:rPr>
              <w:t>CAES has the potential for better local environmental characteristics than pumped hydro</w:t>
            </w:r>
            <w:r w:rsidR="00680AEE">
              <w:rPr>
                <w:rFonts w:eastAsia="Times New Roman" w:cs="Arial"/>
              </w:rPr>
              <w:t xml:space="preserve">. </w:t>
            </w:r>
          </w:p>
        </w:tc>
        <w:tc>
          <w:tcPr>
            <w:tcW w:w="1325" w:type="pct"/>
            <w:shd w:val="clear" w:color="auto" w:fill="auto"/>
            <w:vAlign w:val="center"/>
            <w:hideMark/>
          </w:tcPr>
          <w:p w14:paraId="432E9875"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w:t>
            </w:r>
            <w:r w:rsidRPr="005D4912">
              <w:rPr>
                <w:rFonts w:eastAsia="Times New Roman" w:cs="Arial"/>
                <w:bCs/>
              </w:rPr>
              <w:t>for further screening.</w:t>
            </w:r>
          </w:p>
        </w:tc>
      </w:tr>
      <w:tr w:rsidR="00130D6C" w:rsidRPr="005D4912" w14:paraId="0AB23A9E" w14:textId="77777777" w:rsidTr="00130D6C">
        <w:trPr>
          <w:cantSplit/>
          <w:trHeight w:val="3225"/>
        </w:trPr>
        <w:tc>
          <w:tcPr>
            <w:tcW w:w="1437" w:type="pct"/>
            <w:shd w:val="clear" w:color="auto" w:fill="auto"/>
            <w:vAlign w:val="center"/>
            <w:hideMark/>
          </w:tcPr>
          <w:p w14:paraId="04EA5A3D" w14:textId="5F97DB07" w:rsidR="00130D6C" w:rsidRPr="005D4912" w:rsidRDefault="00130D6C" w:rsidP="00130D6C">
            <w:pPr>
              <w:spacing w:after="0" w:line="240" w:lineRule="auto"/>
              <w:jc w:val="left"/>
              <w:rPr>
                <w:rFonts w:eastAsia="Times New Roman" w:cs="Arial"/>
              </w:rPr>
            </w:pPr>
            <w:r w:rsidRPr="005D4912">
              <w:rPr>
                <w:rFonts w:eastAsia="Times New Roman" w:cs="Arial"/>
              </w:rPr>
              <w:t>2</w:t>
            </w:r>
            <w:r>
              <w:rPr>
                <w:rFonts w:eastAsia="Times New Roman" w:cs="Arial"/>
              </w:rPr>
              <w:t>2</w:t>
            </w:r>
            <w:r w:rsidRPr="005D4912">
              <w:rPr>
                <w:rFonts w:eastAsia="Times New Roman" w:cs="Arial"/>
              </w:rPr>
              <w:t>. Advanced Lead/Acid Batteries</w:t>
            </w:r>
          </w:p>
        </w:tc>
        <w:tc>
          <w:tcPr>
            <w:tcW w:w="2238" w:type="pct"/>
            <w:shd w:val="clear" w:color="auto" w:fill="auto"/>
            <w:vAlign w:val="center"/>
            <w:hideMark/>
          </w:tcPr>
          <w:p w14:paraId="2D949B9F" w14:textId="4A544503" w:rsidR="00130D6C" w:rsidRPr="005D4912" w:rsidRDefault="00130D6C" w:rsidP="00130D6C">
            <w:pPr>
              <w:spacing w:after="0" w:line="240" w:lineRule="auto"/>
              <w:jc w:val="left"/>
              <w:rPr>
                <w:rFonts w:eastAsia="Times New Roman" w:cs="Arial"/>
              </w:rPr>
            </w:pPr>
            <w:r w:rsidRPr="005D4912">
              <w:rPr>
                <w:rFonts w:eastAsia="Times New Roman" w:cs="Arial"/>
              </w:rPr>
              <w:t>Lead/acid technology is mature, but life at elevated operating temperatures with heavy duty cycles is of concern</w:t>
            </w:r>
            <w:r w:rsidR="00680AEE">
              <w:rPr>
                <w:rFonts w:eastAsia="Times New Roman" w:cs="Arial"/>
              </w:rPr>
              <w:t xml:space="preserve">. </w:t>
            </w:r>
            <w:r w:rsidRPr="005D4912">
              <w:rPr>
                <w:rFonts w:eastAsia="Times New Roman" w:cs="Arial"/>
              </w:rPr>
              <w:t>Advanced batteries are being developed to achieve higher energy and/or power density, higher reliability, lower maintenance and longer life at a cost that can be competitive to conventional lead acid batteries</w:t>
            </w:r>
            <w:r w:rsidR="00680AEE">
              <w:rPr>
                <w:rFonts w:eastAsia="Times New Roman" w:cs="Arial"/>
              </w:rPr>
              <w:t xml:space="preserve">. </w:t>
            </w:r>
            <w:r w:rsidRPr="005D4912">
              <w:rPr>
                <w:rFonts w:eastAsia="Times New Roman" w:cs="Arial"/>
              </w:rPr>
              <w:t>Potential applications include load management/peak shaving applications to defer the power plant construction for peaking capacity and backup power for T&amp;D substations</w:t>
            </w:r>
            <w:r w:rsidR="00680AEE">
              <w:rPr>
                <w:rFonts w:eastAsia="Times New Roman" w:cs="Arial"/>
              </w:rPr>
              <w:t xml:space="preserve">. </w:t>
            </w:r>
            <w:r w:rsidRPr="005D4912">
              <w:rPr>
                <w:rFonts w:eastAsia="Times New Roman" w:cs="Arial"/>
              </w:rPr>
              <w:t>Environmental impact on the local area is expected to be very low when the charging source is not considered.</w:t>
            </w:r>
          </w:p>
        </w:tc>
        <w:tc>
          <w:tcPr>
            <w:tcW w:w="1325" w:type="pct"/>
            <w:shd w:val="clear" w:color="auto" w:fill="auto"/>
            <w:vAlign w:val="center"/>
            <w:hideMark/>
          </w:tcPr>
          <w:p w14:paraId="3922E4D9" w14:textId="09F7B0D6"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 </w:t>
            </w:r>
          </w:p>
        </w:tc>
      </w:tr>
      <w:tr w:rsidR="00130D6C" w:rsidRPr="005D4912" w14:paraId="184EEE1B" w14:textId="77777777" w:rsidTr="00130D6C">
        <w:trPr>
          <w:cantSplit/>
          <w:trHeight w:val="3225"/>
        </w:trPr>
        <w:tc>
          <w:tcPr>
            <w:tcW w:w="1437" w:type="pct"/>
            <w:shd w:val="clear" w:color="auto" w:fill="auto"/>
            <w:vAlign w:val="center"/>
            <w:hideMark/>
          </w:tcPr>
          <w:p w14:paraId="727F7472" w14:textId="5FBA7F45" w:rsidR="00130D6C" w:rsidRPr="005D4912" w:rsidRDefault="00130D6C" w:rsidP="00130D6C">
            <w:pPr>
              <w:spacing w:after="0" w:line="240" w:lineRule="auto"/>
              <w:jc w:val="left"/>
              <w:rPr>
                <w:rFonts w:eastAsia="Times New Roman" w:cs="Arial"/>
              </w:rPr>
            </w:pPr>
            <w:r w:rsidRPr="005D4912">
              <w:rPr>
                <w:rFonts w:eastAsia="Times New Roman" w:cs="Arial"/>
              </w:rPr>
              <w:t>2</w:t>
            </w:r>
            <w:r>
              <w:rPr>
                <w:rFonts w:eastAsia="Times New Roman" w:cs="Arial"/>
              </w:rPr>
              <w:t>3</w:t>
            </w:r>
            <w:r w:rsidRPr="005D4912">
              <w:rPr>
                <w:rFonts w:eastAsia="Times New Roman" w:cs="Arial"/>
              </w:rPr>
              <w:t>. Flow Batteries</w:t>
            </w:r>
          </w:p>
        </w:tc>
        <w:tc>
          <w:tcPr>
            <w:tcW w:w="2238" w:type="pct"/>
            <w:shd w:val="clear" w:color="auto" w:fill="auto"/>
            <w:vAlign w:val="center"/>
            <w:hideMark/>
          </w:tcPr>
          <w:p w14:paraId="1EA32A55" w14:textId="2A535A81" w:rsidR="00130D6C" w:rsidRPr="005D4912" w:rsidRDefault="00130D6C" w:rsidP="00130D6C">
            <w:pPr>
              <w:spacing w:after="0" w:line="240" w:lineRule="auto"/>
              <w:jc w:val="left"/>
              <w:rPr>
                <w:rFonts w:eastAsia="Times New Roman" w:cs="Arial"/>
              </w:rPr>
            </w:pPr>
            <w:r w:rsidRPr="005D4912">
              <w:rPr>
                <w:rFonts w:eastAsia="Times New Roman" w:cs="Arial"/>
              </w:rPr>
              <w:t>Flow batteries have attracted a lot of interest from investors and developers from stationary energy storage</w:t>
            </w:r>
            <w:r w:rsidR="00680AEE">
              <w:rPr>
                <w:rFonts w:eastAsia="Times New Roman" w:cs="Arial"/>
              </w:rPr>
              <w:t xml:space="preserve">. </w:t>
            </w:r>
            <w:r w:rsidRPr="005D4912">
              <w:rPr>
                <w:rFonts w:eastAsia="Times New Roman" w:cs="Arial"/>
              </w:rPr>
              <w:t>Flow batteries offer the ability to store energy for long periods of time without losing their charge, relative ease in scaling up, and relative high cycle life</w:t>
            </w:r>
            <w:r w:rsidR="00680AEE">
              <w:rPr>
                <w:rFonts w:eastAsia="Times New Roman" w:cs="Arial"/>
              </w:rPr>
              <w:t xml:space="preserve">. </w:t>
            </w:r>
            <w:r w:rsidRPr="005D4912">
              <w:rPr>
                <w:rFonts w:eastAsia="Times New Roman" w:cs="Arial"/>
              </w:rPr>
              <w:t>Flow batteries can be categorized into different classes, with true redox and hybrid redox further along the commercialization path</w:t>
            </w:r>
            <w:r w:rsidR="00680AEE">
              <w:rPr>
                <w:rFonts w:eastAsia="Times New Roman" w:cs="Arial"/>
              </w:rPr>
              <w:t xml:space="preserve">. </w:t>
            </w:r>
            <w:r w:rsidRPr="005D4912">
              <w:rPr>
                <w:rFonts w:eastAsia="Times New Roman" w:cs="Arial"/>
              </w:rPr>
              <w:t>Other classes of flow batteries, such as membraneless, organic, metal hydride, and nano-network are in the early R&amp;D stage</w:t>
            </w:r>
            <w:r w:rsidR="00680AEE">
              <w:rPr>
                <w:rFonts w:eastAsia="Times New Roman" w:cs="Arial"/>
              </w:rPr>
              <w:t xml:space="preserve">. </w:t>
            </w:r>
          </w:p>
        </w:tc>
        <w:tc>
          <w:tcPr>
            <w:tcW w:w="1325" w:type="pct"/>
            <w:shd w:val="clear" w:color="auto" w:fill="auto"/>
            <w:vAlign w:val="center"/>
            <w:hideMark/>
          </w:tcPr>
          <w:p w14:paraId="749BCE86"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stage of technology development.</w:t>
            </w:r>
          </w:p>
        </w:tc>
      </w:tr>
      <w:tr w:rsidR="00130D6C" w:rsidRPr="005D4912" w14:paraId="5A1FCC7A" w14:textId="77777777" w:rsidTr="00130D6C">
        <w:trPr>
          <w:cantSplit/>
          <w:trHeight w:val="2850"/>
        </w:trPr>
        <w:tc>
          <w:tcPr>
            <w:tcW w:w="1437" w:type="pct"/>
            <w:shd w:val="clear" w:color="auto" w:fill="auto"/>
            <w:vAlign w:val="center"/>
            <w:hideMark/>
          </w:tcPr>
          <w:p w14:paraId="27114C5D" w14:textId="4B58DA96" w:rsidR="00130D6C" w:rsidRPr="005D4912" w:rsidRDefault="00130D6C" w:rsidP="00130D6C">
            <w:pPr>
              <w:spacing w:after="0" w:line="240" w:lineRule="auto"/>
              <w:jc w:val="left"/>
              <w:rPr>
                <w:rFonts w:eastAsia="Times New Roman" w:cs="Arial"/>
              </w:rPr>
            </w:pPr>
            <w:r w:rsidRPr="005D4912">
              <w:rPr>
                <w:rFonts w:eastAsia="Times New Roman" w:cs="Arial"/>
              </w:rPr>
              <w:t>2</w:t>
            </w:r>
            <w:r>
              <w:rPr>
                <w:rFonts w:eastAsia="Times New Roman" w:cs="Arial"/>
              </w:rPr>
              <w:t>4</w:t>
            </w:r>
            <w:r w:rsidRPr="005D4912">
              <w:rPr>
                <w:rFonts w:eastAsia="Times New Roman" w:cs="Arial"/>
              </w:rPr>
              <w:t>. Lithium</w:t>
            </w:r>
            <w:r w:rsidR="00266FFB">
              <w:rPr>
                <w:rFonts w:eastAsia="Times New Roman" w:cs="Arial"/>
              </w:rPr>
              <w:t>-</w:t>
            </w:r>
            <w:r w:rsidRPr="005D4912">
              <w:rPr>
                <w:rFonts w:eastAsia="Times New Roman" w:cs="Arial"/>
              </w:rPr>
              <w:t xml:space="preserve">Ion based Batteries </w:t>
            </w:r>
          </w:p>
        </w:tc>
        <w:tc>
          <w:tcPr>
            <w:tcW w:w="2238" w:type="pct"/>
            <w:shd w:val="clear" w:color="auto" w:fill="auto"/>
            <w:vAlign w:val="center"/>
            <w:hideMark/>
          </w:tcPr>
          <w:p w14:paraId="5DAB5B5C" w14:textId="1D24DC2A" w:rsidR="00130D6C" w:rsidRPr="005D4912" w:rsidRDefault="00130D6C" w:rsidP="00130D6C">
            <w:pPr>
              <w:spacing w:after="0" w:line="240" w:lineRule="auto"/>
              <w:jc w:val="left"/>
              <w:rPr>
                <w:rFonts w:eastAsia="Times New Roman" w:cs="Arial"/>
              </w:rPr>
            </w:pPr>
            <w:r w:rsidRPr="005D4912">
              <w:rPr>
                <w:rFonts w:eastAsia="Times New Roman" w:cs="Arial"/>
              </w:rPr>
              <w:t>Lithium</w:t>
            </w:r>
            <w:r w:rsidR="00266FFB">
              <w:rPr>
                <w:rFonts w:eastAsia="Times New Roman" w:cs="Arial"/>
              </w:rPr>
              <w:t>-</w:t>
            </w:r>
            <w:r w:rsidRPr="005D4912">
              <w:rPr>
                <w:rFonts w:eastAsia="Times New Roman" w:cs="Arial"/>
              </w:rPr>
              <w:t>ion technology is mature based upon the use of the technology in electronics and EVs</w:t>
            </w:r>
            <w:r w:rsidR="00680AEE">
              <w:rPr>
                <w:rFonts w:eastAsia="Times New Roman" w:cs="Arial"/>
              </w:rPr>
              <w:t xml:space="preserve">. </w:t>
            </w:r>
            <w:r w:rsidRPr="005D4912">
              <w:rPr>
                <w:rFonts w:eastAsia="Times New Roman" w:cs="Arial"/>
              </w:rPr>
              <w:t>Applications of Li-ion batteries for utility scale, stationary applications are quickly emerging with deployments in California leading the way</w:t>
            </w:r>
            <w:r w:rsidR="00680AEE">
              <w:rPr>
                <w:rFonts w:eastAsia="Times New Roman" w:cs="Arial"/>
              </w:rPr>
              <w:t xml:space="preserve">. </w:t>
            </w:r>
            <w:r w:rsidRPr="005D4912">
              <w:rPr>
                <w:rFonts w:eastAsia="Times New Roman" w:cs="Arial"/>
              </w:rPr>
              <w:t xml:space="preserve">Advanced </w:t>
            </w:r>
            <w:r w:rsidR="00C01A21">
              <w:rPr>
                <w:rFonts w:eastAsia="Times New Roman" w:cs="Arial"/>
              </w:rPr>
              <w:t>lithium</w:t>
            </w:r>
            <w:r w:rsidRPr="005D4912">
              <w:rPr>
                <w:rFonts w:eastAsia="Times New Roman" w:cs="Arial"/>
              </w:rPr>
              <w:t xml:space="preserve"> chemistries and batteries are being developed to achieve higher energy and/or power density, higher reliability, lower maintenance and longer life, at a cost that can be competitive with other storage approaches</w:t>
            </w:r>
            <w:r w:rsidR="00680AEE">
              <w:rPr>
                <w:rFonts w:eastAsia="Times New Roman" w:cs="Arial"/>
              </w:rPr>
              <w:t xml:space="preserve">. </w:t>
            </w:r>
            <w:r w:rsidRPr="005D4912">
              <w:rPr>
                <w:rFonts w:eastAsia="Times New Roman" w:cs="Arial"/>
              </w:rPr>
              <w:t>Potential applications include load management/peak shaving applications to defer T&amp;D upgrades, defer power plant construction for peaking capacity and backup power for T&amp;D substations</w:t>
            </w:r>
            <w:r w:rsidR="00680AEE">
              <w:rPr>
                <w:rFonts w:eastAsia="Times New Roman" w:cs="Arial"/>
              </w:rPr>
              <w:t xml:space="preserve">. </w:t>
            </w:r>
            <w:r w:rsidRPr="005D4912">
              <w:rPr>
                <w:rFonts w:eastAsia="Times New Roman" w:cs="Arial"/>
              </w:rPr>
              <w:t>Environmental impact on the local area is expected to be very low when the charging source is not considered.</w:t>
            </w:r>
          </w:p>
        </w:tc>
        <w:tc>
          <w:tcPr>
            <w:tcW w:w="1325" w:type="pct"/>
            <w:shd w:val="clear" w:color="auto" w:fill="auto"/>
            <w:vAlign w:val="center"/>
            <w:hideMark/>
          </w:tcPr>
          <w:p w14:paraId="11DCAE85" w14:textId="0250AA64"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02271FB7" w14:textId="77777777" w:rsidTr="00130D6C">
        <w:trPr>
          <w:cantSplit/>
          <w:trHeight w:val="3015"/>
        </w:trPr>
        <w:tc>
          <w:tcPr>
            <w:tcW w:w="1437" w:type="pct"/>
            <w:shd w:val="clear" w:color="auto" w:fill="auto"/>
            <w:vAlign w:val="center"/>
            <w:hideMark/>
          </w:tcPr>
          <w:p w14:paraId="10F44BF3" w14:textId="6BA57147" w:rsidR="00130D6C" w:rsidRPr="005D4912" w:rsidRDefault="00130D6C" w:rsidP="00130D6C">
            <w:pPr>
              <w:spacing w:after="0" w:line="240" w:lineRule="auto"/>
              <w:jc w:val="left"/>
              <w:rPr>
                <w:rFonts w:eastAsia="Times New Roman" w:cs="Arial"/>
              </w:rPr>
            </w:pPr>
            <w:r w:rsidRPr="005D4912">
              <w:rPr>
                <w:rFonts w:eastAsia="Times New Roman" w:cs="Arial"/>
              </w:rPr>
              <w:t>2</w:t>
            </w:r>
            <w:r>
              <w:rPr>
                <w:rFonts w:eastAsia="Times New Roman" w:cs="Arial"/>
              </w:rPr>
              <w:t>5</w:t>
            </w:r>
            <w:r w:rsidRPr="005D4912">
              <w:rPr>
                <w:rFonts w:eastAsia="Times New Roman" w:cs="Arial"/>
              </w:rPr>
              <w:t>. Flywheel Energy Storage</w:t>
            </w:r>
          </w:p>
        </w:tc>
        <w:tc>
          <w:tcPr>
            <w:tcW w:w="2238" w:type="pct"/>
            <w:shd w:val="clear" w:color="auto" w:fill="auto"/>
            <w:vAlign w:val="center"/>
            <w:hideMark/>
          </w:tcPr>
          <w:p w14:paraId="071264C6" w14:textId="5D81216D" w:rsidR="00130D6C" w:rsidRPr="005D4912" w:rsidRDefault="00130D6C" w:rsidP="00130D6C">
            <w:pPr>
              <w:spacing w:after="0" w:line="240" w:lineRule="auto"/>
              <w:jc w:val="left"/>
              <w:rPr>
                <w:rFonts w:eastAsia="Times New Roman" w:cs="Arial"/>
              </w:rPr>
            </w:pPr>
            <w:r w:rsidRPr="005D4912">
              <w:rPr>
                <w:rFonts w:eastAsia="Times New Roman" w:cs="Arial"/>
              </w:rPr>
              <w:t>Flywheels store mechanical energy, with the amount dependent on the inertia and rotational speed of the flywheel</w:t>
            </w:r>
            <w:r w:rsidR="00680AEE">
              <w:rPr>
                <w:rFonts w:eastAsia="Times New Roman" w:cs="Arial"/>
              </w:rPr>
              <w:t xml:space="preserve">. </w:t>
            </w:r>
            <w:r w:rsidRPr="005D4912">
              <w:rPr>
                <w:rFonts w:eastAsia="Times New Roman" w:cs="Arial"/>
              </w:rPr>
              <w:t>Southern Company has demonstrated flywheel feasibility in short term ride-through for power quality (</w:t>
            </w:r>
            <w:r w:rsidR="005A4027">
              <w:rPr>
                <w:rFonts w:eastAsia="Times New Roman" w:cs="Arial"/>
              </w:rPr>
              <w:t>“</w:t>
            </w:r>
            <w:r w:rsidRPr="005D4912">
              <w:rPr>
                <w:rFonts w:eastAsia="Times New Roman" w:cs="Arial"/>
              </w:rPr>
              <w:t>PQ</w:t>
            </w:r>
            <w:r w:rsidR="005A4027">
              <w:rPr>
                <w:rFonts w:eastAsia="Times New Roman" w:cs="Arial"/>
              </w:rPr>
              <w:t>”</w:t>
            </w:r>
            <w:r w:rsidRPr="005D4912">
              <w:rPr>
                <w:rFonts w:eastAsia="Times New Roman" w:cs="Arial"/>
              </w:rPr>
              <w:t>) applications with very good success, but systems for high energy storage applications for peak shaving and/or load leveling are still undeveloped</w:t>
            </w:r>
            <w:r w:rsidR="00680AEE">
              <w:rPr>
                <w:rFonts w:eastAsia="Times New Roman" w:cs="Arial"/>
              </w:rPr>
              <w:t xml:space="preserve">. </w:t>
            </w:r>
            <w:r w:rsidRPr="005D4912">
              <w:rPr>
                <w:rFonts w:eastAsia="Times New Roman" w:cs="Arial"/>
              </w:rPr>
              <w:t>Acceptable total system costs have been achieved with the PQ units and the ability to integrate the mechanical and power electronic components has been demonstrated</w:t>
            </w:r>
            <w:r w:rsidR="00680AEE">
              <w:rPr>
                <w:rFonts w:eastAsia="Times New Roman" w:cs="Arial"/>
              </w:rPr>
              <w:t xml:space="preserve">. </w:t>
            </w:r>
            <w:r w:rsidRPr="005D4912">
              <w:rPr>
                <w:rFonts w:eastAsia="Times New Roman" w:cs="Arial"/>
              </w:rPr>
              <w:t>Monitoring of activity in the MW class systems continue and further cost reductions for composite materials, magnetic bearings, and power electronics will improve the chances for future electrical energy storage applications.</w:t>
            </w:r>
          </w:p>
        </w:tc>
        <w:tc>
          <w:tcPr>
            <w:tcW w:w="1325" w:type="pct"/>
            <w:shd w:val="clear" w:color="auto" w:fill="auto"/>
            <w:vAlign w:val="center"/>
            <w:hideMark/>
          </w:tcPr>
          <w:p w14:paraId="67B0BBF2" w14:textId="6A852F62" w:rsidR="00130D6C" w:rsidRPr="005D4912" w:rsidRDefault="00130D6C" w:rsidP="00130D6C">
            <w:pPr>
              <w:spacing w:after="0" w:line="240" w:lineRule="auto"/>
              <w:jc w:val="left"/>
              <w:rPr>
                <w:rFonts w:eastAsia="Times New Roman" w:cs="Arial"/>
              </w:rPr>
            </w:pPr>
            <w:r w:rsidRPr="005D4912">
              <w:rPr>
                <w:rFonts w:eastAsia="Times New Roman" w:cs="Arial"/>
                <w:b/>
                <w:bCs/>
              </w:rPr>
              <w:t xml:space="preserve">NOT RETAINED </w:t>
            </w:r>
            <w:r w:rsidRPr="005D4912">
              <w:rPr>
                <w:rFonts w:eastAsia="Times New Roman" w:cs="Arial"/>
                <w:bCs/>
              </w:rPr>
              <w:t xml:space="preserve">for further screening at this time </w:t>
            </w:r>
            <w:r w:rsidRPr="005D4912">
              <w:rPr>
                <w:rFonts w:eastAsia="Times New Roman" w:cs="Arial"/>
              </w:rPr>
              <w:t>due to high costs</w:t>
            </w:r>
            <w:r>
              <w:rPr>
                <w:rFonts w:eastAsia="Times New Roman" w:cs="Arial"/>
              </w:rPr>
              <w:t xml:space="preserve"> </w:t>
            </w:r>
            <w:r w:rsidRPr="005D4912">
              <w:rPr>
                <w:rFonts w:eastAsia="Times New Roman" w:cs="Arial"/>
              </w:rPr>
              <w:t>and better suitability for dispersed generation applications.</w:t>
            </w:r>
          </w:p>
        </w:tc>
      </w:tr>
      <w:tr w:rsidR="00130D6C" w:rsidRPr="005D4912" w14:paraId="395EAFEB" w14:textId="77777777" w:rsidTr="00130D6C">
        <w:trPr>
          <w:cantSplit/>
          <w:trHeight w:val="3480"/>
        </w:trPr>
        <w:tc>
          <w:tcPr>
            <w:tcW w:w="1437" w:type="pct"/>
            <w:shd w:val="clear" w:color="auto" w:fill="auto"/>
            <w:vAlign w:val="center"/>
            <w:hideMark/>
          </w:tcPr>
          <w:p w14:paraId="31F85911" w14:textId="1277AB81" w:rsidR="00130D6C" w:rsidRPr="005D4912" w:rsidRDefault="00130D6C" w:rsidP="00130D6C">
            <w:pPr>
              <w:spacing w:after="0" w:line="240" w:lineRule="auto"/>
              <w:jc w:val="left"/>
              <w:rPr>
                <w:rFonts w:eastAsia="Times New Roman" w:cs="Arial"/>
              </w:rPr>
            </w:pPr>
            <w:r w:rsidRPr="005D4912">
              <w:rPr>
                <w:rFonts w:eastAsia="Times New Roman" w:cs="Arial"/>
              </w:rPr>
              <w:t>2</w:t>
            </w:r>
            <w:r>
              <w:rPr>
                <w:rFonts w:eastAsia="Times New Roman" w:cs="Arial"/>
              </w:rPr>
              <w:t>6</w:t>
            </w:r>
            <w:r w:rsidRPr="005D4912">
              <w:rPr>
                <w:rFonts w:eastAsia="Times New Roman" w:cs="Arial"/>
              </w:rPr>
              <w:t>. Nuclear Advanced Light Water Reactor (“LWR”) – Evolutionary</w:t>
            </w:r>
          </w:p>
        </w:tc>
        <w:tc>
          <w:tcPr>
            <w:tcW w:w="2238" w:type="pct"/>
            <w:shd w:val="clear" w:color="auto" w:fill="auto"/>
            <w:vAlign w:val="center"/>
            <w:hideMark/>
          </w:tcPr>
          <w:p w14:paraId="1F7DB3C0" w14:textId="0CF11C9A" w:rsidR="00130D6C" w:rsidRPr="005D4912" w:rsidRDefault="00130D6C" w:rsidP="00130D6C">
            <w:pPr>
              <w:spacing w:after="0" w:line="240" w:lineRule="auto"/>
              <w:jc w:val="left"/>
              <w:rPr>
                <w:rFonts w:eastAsia="Times New Roman" w:cs="Arial"/>
              </w:rPr>
            </w:pPr>
            <w:r w:rsidRPr="005D4912">
              <w:rPr>
                <w:rFonts w:eastAsia="Times New Roman" w:cs="Arial"/>
              </w:rPr>
              <w:t>These plants are similar in design to Hatch, Farley and Vogtle but incorporate many evolutionary improvements in areas such as controls, systems, materials, construction techniques, and a streamlined regulatory approval process</w:t>
            </w:r>
            <w:r w:rsidR="00680AEE">
              <w:rPr>
                <w:rFonts w:eastAsia="Times New Roman" w:cs="Arial"/>
              </w:rPr>
              <w:t xml:space="preserve">. </w:t>
            </w:r>
            <w:r w:rsidRPr="005D4912">
              <w:rPr>
                <w:rFonts w:eastAsia="Times New Roman" w:cs="Arial"/>
              </w:rPr>
              <w:t xml:space="preserve">Plants in this category include the Advanced Boiling Water Reactor (“ABWR”) by </w:t>
            </w:r>
            <w:r w:rsidR="00365339">
              <w:rPr>
                <w:rFonts w:eastAsia="Times New Roman" w:cs="Arial"/>
              </w:rPr>
              <w:t>General Electric (“</w:t>
            </w:r>
            <w:r w:rsidRPr="005D4912">
              <w:rPr>
                <w:rFonts w:eastAsia="Times New Roman" w:cs="Arial"/>
              </w:rPr>
              <w:t>GE</w:t>
            </w:r>
            <w:r w:rsidR="00365339">
              <w:rPr>
                <w:rFonts w:eastAsia="Times New Roman" w:cs="Arial"/>
              </w:rPr>
              <w:t>”)</w:t>
            </w:r>
            <w:r w:rsidRPr="005D4912">
              <w:rPr>
                <w:rFonts w:eastAsia="Times New Roman" w:cs="Arial"/>
              </w:rPr>
              <w:t xml:space="preserve"> and Toshiba, Advanced Pressurized Water Reactor (“APWR”) by Mitsubishi and the European Pressurized Water Reactor (“EPR”) by Areva</w:t>
            </w:r>
            <w:r w:rsidR="00680AEE">
              <w:rPr>
                <w:rFonts w:eastAsia="Times New Roman" w:cs="Arial"/>
              </w:rPr>
              <w:t xml:space="preserve">. </w:t>
            </w:r>
            <w:r w:rsidRPr="005D4912">
              <w:rPr>
                <w:rFonts w:eastAsia="Times New Roman" w:cs="Arial"/>
              </w:rPr>
              <w:t xml:space="preserve">ABWRs are in operation in Japan and have been considered for several sites in the </w:t>
            </w:r>
            <w:r w:rsidR="007136B4">
              <w:rPr>
                <w:rFonts w:eastAsia="Times New Roman" w:cs="Arial"/>
              </w:rPr>
              <w:t>United States</w:t>
            </w:r>
            <w:r w:rsidR="00680AEE">
              <w:rPr>
                <w:rFonts w:eastAsia="Times New Roman" w:cs="Arial"/>
              </w:rPr>
              <w:t xml:space="preserve">. </w:t>
            </w:r>
            <w:r w:rsidRPr="005D4912">
              <w:rPr>
                <w:rFonts w:eastAsia="Times New Roman" w:cs="Arial"/>
              </w:rPr>
              <w:t xml:space="preserve">The APWR has been discussed for several </w:t>
            </w:r>
            <w:r w:rsidR="007136B4">
              <w:rPr>
                <w:rFonts w:eastAsia="Times New Roman" w:cs="Arial"/>
              </w:rPr>
              <w:t>US</w:t>
            </w:r>
            <w:r w:rsidRPr="005D4912">
              <w:rPr>
                <w:rFonts w:eastAsia="Times New Roman" w:cs="Arial"/>
              </w:rPr>
              <w:t xml:space="preserve"> sites, but no license applications have been submitted to date</w:t>
            </w:r>
            <w:r w:rsidR="00680AEE">
              <w:rPr>
                <w:rFonts w:eastAsia="Times New Roman" w:cs="Arial"/>
              </w:rPr>
              <w:t xml:space="preserve">. </w:t>
            </w:r>
            <w:r w:rsidRPr="005D4912">
              <w:rPr>
                <w:rFonts w:eastAsia="Times New Roman" w:cs="Arial"/>
              </w:rPr>
              <w:t xml:space="preserve">The EPR design is being built in Europe, and a modified version has been submitted for certification in the </w:t>
            </w:r>
            <w:r w:rsidR="007136B4">
              <w:rPr>
                <w:rFonts w:eastAsia="Times New Roman" w:cs="Arial"/>
              </w:rPr>
              <w:t>United States</w:t>
            </w:r>
            <w:r w:rsidR="00680AEE">
              <w:rPr>
                <w:rFonts w:eastAsia="Times New Roman" w:cs="Arial"/>
              </w:rPr>
              <w:t xml:space="preserve">. </w:t>
            </w:r>
            <w:r w:rsidRPr="005D4912">
              <w:rPr>
                <w:rFonts w:eastAsia="Times New Roman" w:cs="Arial"/>
              </w:rPr>
              <w:t>The evolutionary designs have the same environmental characteristics as the current fleet of light water reactors.</w:t>
            </w:r>
          </w:p>
        </w:tc>
        <w:tc>
          <w:tcPr>
            <w:tcW w:w="1325" w:type="pct"/>
            <w:shd w:val="clear" w:color="auto" w:fill="auto"/>
            <w:vAlign w:val="center"/>
            <w:hideMark/>
          </w:tcPr>
          <w:p w14:paraId="34659DAC"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6FE7046E" w14:textId="77777777" w:rsidTr="00130D6C">
        <w:trPr>
          <w:cantSplit/>
          <w:trHeight w:val="2535"/>
        </w:trPr>
        <w:tc>
          <w:tcPr>
            <w:tcW w:w="1437" w:type="pct"/>
            <w:shd w:val="clear" w:color="auto" w:fill="auto"/>
            <w:vAlign w:val="center"/>
            <w:hideMark/>
          </w:tcPr>
          <w:p w14:paraId="008F9B73" w14:textId="13FB32BB" w:rsidR="00130D6C" w:rsidRPr="005D4912" w:rsidRDefault="00130D6C" w:rsidP="00130D6C">
            <w:pPr>
              <w:spacing w:after="0" w:line="240" w:lineRule="auto"/>
              <w:jc w:val="left"/>
              <w:rPr>
                <w:rFonts w:eastAsia="Times New Roman" w:cs="Arial"/>
              </w:rPr>
            </w:pPr>
            <w:r w:rsidRPr="005D4912">
              <w:rPr>
                <w:rFonts w:eastAsia="Times New Roman" w:cs="Arial"/>
              </w:rPr>
              <w:t>2</w:t>
            </w:r>
            <w:r>
              <w:rPr>
                <w:rFonts w:eastAsia="Times New Roman" w:cs="Arial"/>
              </w:rPr>
              <w:t>7</w:t>
            </w:r>
            <w:r w:rsidRPr="005D4912">
              <w:rPr>
                <w:rFonts w:eastAsia="Times New Roman" w:cs="Arial"/>
              </w:rPr>
              <w:t>. Nuclear Advanced Light Water Reactor – Passive</w:t>
            </w:r>
          </w:p>
        </w:tc>
        <w:tc>
          <w:tcPr>
            <w:tcW w:w="2238" w:type="pct"/>
            <w:shd w:val="clear" w:color="auto" w:fill="auto"/>
            <w:vAlign w:val="center"/>
            <w:hideMark/>
          </w:tcPr>
          <w:p w14:paraId="204B2C6C" w14:textId="67C4F0ED" w:rsidR="00130D6C" w:rsidRPr="005D4912" w:rsidRDefault="00130D6C" w:rsidP="00130D6C">
            <w:pPr>
              <w:spacing w:after="0" w:line="240" w:lineRule="auto"/>
              <w:jc w:val="left"/>
              <w:rPr>
                <w:rFonts w:eastAsia="Times New Roman" w:cs="Arial"/>
              </w:rPr>
            </w:pPr>
            <w:r w:rsidRPr="005D4912">
              <w:rPr>
                <w:rFonts w:eastAsia="Times New Roman" w:cs="Arial"/>
              </w:rPr>
              <w:t>Southern Company has made a commitment to this technology as evidenced by the ongoing construction of two AP1000 (1000 MW) nuclear units at the Vogtle site</w:t>
            </w:r>
            <w:r w:rsidR="00680AEE">
              <w:rPr>
                <w:rFonts w:eastAsia="Times New Roman" w:cs="Arial"/>
              </w:rPr>
              <w:t xml:space="preserve">. </w:t>
            </w:r>
            <w:r w:rsidRPr="005D4912">
              <w:rPr>
                <w:rFonts w:eastAsia="Times New Roman" w:cs="Arial"/>
              </w:rPr>
              <w:t xml:space="preserve">In addition to the Westinghouse AP1000 design, this category includes the </w:t>
            </w:r>
            <w:r w:rsidRPr="005D4912">
              <w:rPr>
                <w:rFonts w:eastAsia="Times New Roman" w:cs="Arial"/>
                <w:shd w:val="clear" w:color="auto" w:fill="FFFFFF"/>
              </w:rPr>
              <w:t>Economic Simplified Boiling Water Reactor</w:t>
            </w:r>
            <w:r w:rsidRPr="005D4912">
              <w:rPr>
                <w:rFonts w:eastAsia="Times New Roman" w:cs="Arial"/>
              </w:rPr>
              <w:t xml:space="preserve"> (“ESBWR”), a passive Boiler Water Reactor (“BWR”) design under development by GE</w:t>
            </w:r>
            <w:r w:rsidR="00680AEE">
              <w:rPr>
                <w:rFonts w:eastAsia="Times New Roman" w:cs="Arial"/>
              </w:rPr>
              <w:t xml:space="preserve">. </w:t>
            </w:r>
            <w:r w:rsidRPr="005D4912">
              <w:rPr>
                <w:rFonts w:eastAsia="Times New Roman" w:cs="Arial"/>
              </w:rPr>
              <w:t xml:space="preserve">The ESBWR design is not yet certified by the </w:t>
            </w:r>
            <w:r w:rsidR="00FA64AC">
              <w:rPr>
                <w:rFonts w:eastAsia="Times New Roman" w:cs="Arial"/>
              </w:rPr>
              <w:t>Nuclear Regulatory Commission (“</w:t>
            </w:r>
            <w:r w:rsidRPr="005D4912">
              <w:rPr>
                <w:rFonts w:eastAsia="Times New Roman" w:cs="Arial"/>
              </w:rPr>
              <w:t>NRC</w:t>
            </w:r>
            <w:r w:rsidR="00FA64AC">
              <w:rPr>
                <w:rFonts w:eastAsia="Times New Roman" w:cs="Arial"/>
              </w:rPr>
              <w:t>”)</w:t>
            </w:r>
            <w:r w:rsidR="00680AEE">
              <w:rPr>
                <w:rFonts w:eastAsia="Times New Roman" w:cs="Arial"/>
              </w:rPr>
              <w:t xml:space="preserve">. </w:t>
            </w:r>
            <w:r w:rsidRPr="005D4912">
              <w:rPr>
                <w:rFonts w:eastAsia="Times New Roman" w:cs="Arial"/>
              </w:rPr>
              <w:t>Westinghouse is also considering development of a larger passive plant, possibly an AP1600 (1600 MW)</w:t>
            </w:r>
            <w:r w:rsidR="00680AEE">
              <w:rPr>
                <w:rFonts w:eastAsia="Times New Roman" w:cs="Arial"/>
              </w:rPr>
              <w:t xml:space="preserve">. </w:t>
            </w:r>
            <w:r w:rsidRPr="005D4912">
              <w:rPr>
                <w:rFonts w:eastAsia="Times New Roman" w:cs="Arial"/>
              </w:rPr>
              <w:t>The current passive designs have the same environmental characteristics as the current fleet of light water reactors.</w:t>
            </w:r>
          </w:p>
        </w:tc>
        <w:tc>
          <w:tcPr>
            <w:tcW w:w="1325" w:type="pct"/>
            <w:shd w:val="clear" w:color="auto" w:fill="auto"/>
            <w:vAlign w:val="center"/>
            <w:hideMark/>
          </w:tcPr>
          <w:p w14:paraId="7EF3F410"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58E54D2B" w14:textId="77777777" w:rsidTr="00130D6C">
        <w:trPr>
          <w:cantSplit/>
          <w:trHeight w:val="1515"/>
        </w:trPr>
        <w:tc>
          <w:tcPr>
            <w:tcW w:w="1437" w:type="pct"/>
            <w:shd w:val="clear" w:color="auto" w:fill="auto"/>
            <w:vAlign w:val="center"/>
            <w:hideMark/>
          </w:tcPr>
          <w:p w14:paraId="0CA1E6E0" w14:textId="26D5F29F" w:rsidR="00130D6C" w:rsidRPr="005D4912" w:rsidRDefault="00130D6C" w:rsidP="00130D6C">
            <w:pPr>
              <w:spacing w:after="0" w:line="240" w:lineRule="auto"/>
              <w:jc w:val="left"/>
              <w:rPr>
                <w:rFonts w:eastAsia="Times New Roman" w:cs="Arial"/>
              </w:rPr>
            </w:pPr>
            <w:r>
              <w:rPr>
                <w:rFonts w:eastAsia="Times New Roman" w:cs="Arial"/>
              </w:rPr>
              <w:t>28</w:t>
            </w:r>
            <w:r w:rsidRPr="005D4912">
              <w:rPr>
                <w:rFonts w:eastAsia="Times New Roman" w:cs="Arial"/>
              </w:rPr>
              <w:t>. Nuclear Advanced Light Water Reactor – Modular</w:t>
            </w:r>
          </w:p>
        </w:tc>
        <w:tc>
          <w:tcPr>
            <w:tcW w:w="2238" w:type="pct"/>
            <w:shd w:val="clear" w:color="auto" w:fill="auto"/>
            <w:vAlign w:val="center"/>
            <w:hideMark/>
          </w:tcPr>
          <w:p w14:paraId="3A22DD0B" w14:textId="22EE3543" w:rsidR="00130D6C" w:rsidRPr="005D4912" w:rsidRDefault="00130D6C" w:rsidP="00130D6C">
            <w:pPr>
              <w:spacing w:after="0" w:line="240" w:lineRule="auto"/>
              <w:jc w:val="left"/>
              <w:rPr>
                <w:rFonts w:eastAsia="Times New Roman" w:cs="Arial"/>
              </w:rPr>
            </w:pPr>
            <w:r w:rsidRPr="005D4912">
              <w:rPr>
                <w:rFonts w:eastAsia="Times New Roman" w:cs="Arial"/>
              </w:rPr>
              <w:t>The economics of the smaller advanced modular reactor designs, such as the B&amp;W Power (approximately 125 MW) are unclear</w:t>
            </w:r>
            <w:r w:rsidR="00680AEE">
              <w:rPr>
                <w:rFonts w:eastAsia="Times New Roman" w:cs="Arial"/>
              </w:rPr>
              <w:t xml:space="preserve">. </w:t>
            </w:r>
            <w:r w:rsidRPr="005D4912">
              <w:rPr>
                <w:rFonts w:eastAsia="Times New Roman" w:cs="Arial"/>
              </w:rPr>
              <w:t>Additionally, these designs are years behind the evolutionary and passive plants in terms of both design development and licensing</w:t>
            </w:r>
            <w:r w:rsidR="00680AEE">
              <w:rPr>
                <w:rFonts w:eastAsia="Times New Roman" w:cs="Arial"/>
              </w:rPr>
              <w:t xml:space="preserve">. </w:t>
            </w:r>
            <w:r w:rsidRPr="005D4912">
              <w:rPr>
                <w:rFonts w:eastAsia="Times New Roman" w:cs="Arial"/>
              </w:rPr>
              <w:t>They are expected to have the same environmental characteristics as other nuclear options.</w:t>
            </w:r>
          </w:p>
        </w:tc>
        <w:tc>
          <w:tcPr>
            <w:tcW w:w="1325" w:type="pct"/>
            <w:shd w:val="clear" w:color="auto" w:fill="auto"/>
            <w:vAlign w:val="center"/>
            <w:hideMark/>
          </w:tcPr>
          <w:p w14:paraId="6686B547" w14:textId="77777777" w:rsidR="00130D6C" w:rsidRPr="005D4912" w:rsidRDefault="00130D6C" w:rsidP="00130D6C">
            <w:pPr>
              <w:spacing w:after="0" w:line="240" w:lineRule="auto"/>
              <w:jc w:val="left"/>
              <w:rPr>
                <w:rFonts w:eastAsia="Times New Roman" w:cs="Arial"/>
              </w:rPr>
            </w:pPr>
            <w:r w:rsidRPr="005D4912">
              <w:rPr>
                <w:rFonts w:eastAsia="Times New Roman" w:cs="Arial"/>
                <w:b/>
                <w:bCs/>
              </w:rPr>
              <w:t xml:space="preserve">NOT RETAINED </w:t>
            </w:r>
            <w:r w:rsidRPr="005D4912">
              <w:rPr>
                <w:rFonts w:eastAsia="Times New Roman" w:cs="Arial"/>
                <w:bCs/>
              </w:rPr>
              <w:t xml:space="preserve">for further screening at this time </w:t>
            </w:r>
            <w:r w:rsidRPr="005D4912">
              <w:rPr>
                <w:rFonts w:eastAsia="Times New Roman" w:cs="Arial"/>
              </w:rPr>
              <w:t>due to development status.</w:t>
            </w:r>
          </w:p>
        </w:tc>
      </w:tr>
      <w:tr w:rsidR="00130D6C" w:rsidRPr="005D4912" w14:paraId="037706BA" w14:textId="77777777" w:rsidTr="00130D6C">
        <w:trPr>
          <w:cantSplit/>
        </w:trPr>
        <w:tc>
          <w:tcPr>
            <w:tcW w:w="1437" w:type="pct"/>
            <w:shd w:val="clear" w:color="auto" w:fill="auto"/>
            <w:vAlign w:val="center"/>
            <w:hideMark/>
          </w:tcPr>
          <w:p w14:paraId="6FCE456E" w14:textId="78C98A8F" w:rsidR="00130D6C" w:rsidRPr="005D4912" w:rsidRDefault="00130D6C" w:rsidP="00130D6C">
            <w:pPr>
              <w:spacing w:after="0" w:line="240" w:lineRule="auto"/>
              <w:jc w:val="left"/>
              <w:rPr>
                <w:rFonts w:eastAsia="Times New Roman" w:cs="Arial"/>
              </w:rPr>
            </w:pPr>
            <w:r>
              <w:rPr>
                <w:rFonts w:eastAsia="Times New Roman" w:cs="Arial"/>
              </w:rPr>
              <w:t>29</w:t>
            </w:r>
            <w:r w:rsidRPr="005D4912">
              <w:rPr>
                <w:rFonts w:eastAsia="Times New Roman" w:cs="Arial"/>
              </w:rPr>
              <w:t>. Generation IV Nuclear</w:t>
            </w:r>
          </w:p>
        </w:tc>
        <w:tc>
          <w:tcPr>
            <w:tcW w:w="2238" w:type="pct"/>
            <w:shd w:val="clear" w:color="auto" w:fill="auto"/>
            <w:vAlign w:val="center"/>
            <w:hideMark/>
          </w:tcPr>
          <w:p w14:paraId="62F0CC2D" w14:textId="3D3052C8" w:rsidR="00130D6C" w:rsidRPr="005D4912" w:rsidRDefault="00130D6C" w:rsidP="00101345">
            <w:pPr>
              <w:spacing w:line="240" w:lineRule="auto"/>
              <w:jc w:val="left"/>
              <w:rPr>
                <w:rFonts w:eastAsia="Times New Roman" w:cs="Arial"/>
              </w:rPr>
            </w:pPr>
            <w:r w:rsidRPr="005D4912">
              <w:rPr>
                <w:rFonts w:eastAsia="Times New Roman" w:cs="Arial"/>
              </w:rPr>
              <w:t>There have been several generations of nuclear technology developed over the last 70 years</w:t>
            </w:r>
            <w:r w:rsidR="00680AEE">
              <w:rPr>
                <w:rFonts w:eastAsia="Times New Roman" w:cs="Arial"/>
              </w:rPr>
              <w:t xml:space="preserve">. </w:t>
            </w:r>
            <w:r w:rsidRPr="005D4912">
              <w:rPr>
                <w:rFonts w:eastAsia="Times New Roman" w:cs="Arial"/>
              </w:rPr>
              <w:t>The AP1000 would be considered a Generation III+ design where a typical PWR or BWR would be considered Generation II</w:t>
            </w:r>
            <w:r w:rsidR="00680AEE">
              <w:rPr>
                <w:rFonts w:eastAsia="Times New Roman" w:cs="Arial"/>
              </w:rPr>
              <w:t xml:space="preserve">. </w:t>
            </w:r>
            <w:r w:rsidRPr="005D4912">
              <w:rPr>
                <w:rFonts w:eastAsia="Times New Roman" w:cs="Arial"/>
              </w:rPr>
              <w:t>There are multiple Gen IV designs which can be categorized by the type of coolant they feature</w:t>
            </w:r>
            <w:r w:rsidR="00680AEE">
              <w:rPr>
                <w:rFonts w:eastAsia="Times New Roman" w:cs="Arial"/>
              </w:rPr>
              <w:t xml:space="preserve">. </w:t>
            </w:r>
            <w:r w:rsidRPr="005D4912">
              <w:rPr>
                <w:rFonts w:eastAsia="Times New Roman" w:cs="Arial"/>
              </w:rPr>
              <w:t>This ranges from water to molten salt to liquid metal and even gases</w:t>
            </w:r>
            <w:r w:rsidR="00680AEE">
              <w:rPr>
                <w:rFonts w:eastAsia="Times New Roman" w:cs="Arial"/>
              </w:rPr>
              <w:t xml:space="preserve">. </w:t>
            </w:r>
            <w:r w:rsidRPr="005D4912">
              <w:rPr>
                <w:rFonts w:eastAsia="Times New Roman" w:cs="Arial"/>
              </w:rPr>
              <w:t>The best Gen IV designs are “walk away safe” meaning they require no operator intervention to shut down</w:t>
            </w:r>
            <w:r w:rsidR="00680AEE">
              <w:rPr>
                <w:rFonts w:eastAsia="Times New Roman" w:cs="Arial"/>
              </w:rPr>
              <w:t xml:space="preserve">. </w:t>
            </w:r>
            <w:r w:rsidRPr="005D4912">
              <w:rPr>
                <w:rFonts w:eastAsia="Times New Roman" w:cs="Arial"/>
              </w:rPr>
              <w:t>They are much cheaper to build, and they have a lower fuel cost than traditional machines</w:t>
            </w:r>
            <w:r w:rsidR="00680AEE">
              <w:rPr>
                <w:rFonts w:eastAsia="Times New Roman" w:cs="Arial"/>
              </w:rPr>
              <w:t xml:space="preserve">. </w:t>
            </w:r>
            <w:r w:rsidRPr="005D4912">
              <w:rPr>
                <w:rFonts w:eastAsia="Times New Roman" w:cs="Arial"/>
              </w:rPr>
              <w:t>They have a smaller footprint but produce the same amount of power as a traditional reactor</w:t>
            </w:r>
            <w:r w:rsidR="00680AEE">
              <w:rPr>
                <w:rFonts w:eastAsia="Times New Roman" w:cs="Arial"/>
              </w:rPr>
              <w:t xml:space="preserve">. </w:t>
            </w:r>
            <w:r w:rsidRPr="005D4912">
              <w:rPr>
                <w:rFonts w:eastAsia="Times New Roman" w:cs="Arial"/>
              </w:rPr>
              <w:t>They have shorter construction times</w:t>
            </w:r>
            <w:r w:rsidR="00680AEE">
              <w:rPr>
                <w:rFonts w:eastAsia="Times New Roman" w:cs="Arial"/>
              </w:rPr>
              <w:t xml:space="preserve">. </w:t>
            </w:r>
            <w:r w:rsidRPr="005D4912">
              <w:rPr>
                <w:rFonts w:eastAsia="Times New Roman" w:cs="Arial"/>
              </w:rPr>
              <w:t>They produce substantially less radioactive waste and they are proliferation resistant meaning the fuel cannot be used for weapons</w:t>
            </w:r>
            <w:r w:rsidR="00680AEE">
              <w:rPr>
                <w:rFonts w:eastAsia="Times New Roman" w:cs="Arial"/>
              </w:rPr>
              <w:t xml:space="preserve">. </w:t>
            </w:r>
            <w:r w:rsidRPr="005D4912">
              <w:rPr>
                <w:rFonts w:eastAsia="Times New Roman" w:cs="Arial"/>
              </w:rPr>
              <w:t>They are also capable of online</w:t>
            </w:r>
            <w:r w:rsidR="00101345">
              <w:rPr>
                <w:rFonts w:eastAsia="Times New Roman" w:cs="Arial"/>
              </w:rPr>
              <w:t xml:space="preserve"> refueling and load following.</w:t>
            </w:r>
          </w:p>
        </w:tc>
        <w:tc>
          <w:tcPr>
            <w:tcW w:w="1325" w:type="pct"/>
            <w:shd w:val="clear" w:color="auto" w:fill="auto"/>
            <w:vAlign w:val="center"/>
            <w:hideMark/>
          </w:tcPr>
          <w:p w14:paraId="4AD5B469" w14:textId="77777777" w:rsidR="00130D6C" w:rsidRPr="005D4912" w:rsidRDefault="00130D6C" w:rsidP="00130D6C">
            <w:pPr>
              <w:spacing w:after="0" w:line="240" w:lineRule="auto"/>
              <w:jc w:val="left"/>
              <w:rPr>
                <w:rFonts w:eastAsia="Times New Roman" w:cs="Arial"/>
              </w:rPr>
            </w:pPr>
            <w:r w:rsidRPr="005D4912">
              <w:rPr>
                <w:rFonts w:eastAsia="Times New Roman" w:cs="Arial"/>
                <w:b/>
                <w:bCs/>
              </w:rPr>
              <w:t xml:space="preserve">NOT RETAINED </w:t>
            </w:r>
            <w:r w:rsidRPr="005D4912">
              <w:rPr>
                <w:rFonts w:eastAsia="Times New Roman" w:cs="Arial"/>
                <w:bCs/>
              </w:rPr>
              <w:t xml:space="preserve">for further screening at this time </w:t>
            </w:r>
            <w:r w:rsidRPr="005D4912">
              <w:rPr>
                <w:rFonts w:eastAsia="Times New Roman" w:cs="Arial"/>
              </w:rPr>
              <w:t>due to development status.</w:t>
            </w:r>
          </w:p>
        </w:tc>
      </w:tr>
      <w:tr w:rsidR="00130D6C" w:rsidRPr="005D4912" w14:paraId="1759CE2A" w14:textId="77777777" w:rsidTr="00130D6C">
        <w:trPr>
          <w:cantSplit/>
          <w:trHeight w:val="2535"/>
        </w:trPr>
        <w:tc>
          <w:tcPr>
            <w:tcW w:w="1437" w:type="pct"/>
            <w:shd w:val="clear" w:color="auto" w:fill="auto"/>
            <w:vAlign w:val="center"/>
          </w:tcPr>
          <w:p w14:paraId="0849B43D" w14:textId="49D607D2" w:rsidR="00130D6C" w:rsidRPr="005D4912" w:rsidRDefault="00130D6C" w:rsidP="00130D6C">
            <w:pPr>
              <w:spacing w:after="0" w:line="240" w:lineRule="auto"/>
              <w:jc w:val="left"/>
              <w:rPr>
                <w:rFonts w:eastAsia="Times New Roman" w:cs="Arial"/>
              </w:rPr>
            </w:pPr>
            <w:r>
              <w:rPr>
                <w:rFonts w:eastAsia="Times New Roman" w:cs="Arial"/>
              </w:rPr>
              <w:t>30</w:t>
            </w:r>
            <w:r w:rsidRPr="005D4912">
              <w:rPr>
                <w:rFonts w:eastAsia="Times New Roman" w:cs="Arial"/>
              </w:rPr>
              <w:t>. Nuclear Small Modular Reactor (</w:t>
            </w:r>
            <w:r w:rsidR="00FA64AC">
              <w:rPr>
                <w:rFonts w:eastAsia="Times New Roman" w:cs="Arial"/>
              </w:rPr>
              <w:t>“</w:t>
            </w:r>
            <w:r w:rsidRPr="005D4912">
              <w:rPr>
                <w:rFonts w:eastAsia="Times New Roman" w:cs="Arial"/>
              </w:rPr>
              <w:t>SMR</w:t>
            </w:r>
            <w:r w:rsidR="00FA64AC">
              <w:rPr>
                <w:rFonts w:eastAsia="Times New Roman" w:cs="Arial"/>
              </w:rPr>
              <w:t>”</w:t>
            </w:r>
            <w:r w:rsidRPr="005D4912">
              <w:rPr>
                <w:rFonts w:eastAsia="Times New Roman" w:cs="Arial"/>
              </w:rPr>
              <w:t>)</w:t>
            </w:r>
          </w:p>
        </w:tc>
        <w:tc>
          <w:tcPr>
            <w:tcW w:w="2238" w:type="pct"/>
            <w:shd w:val="clear" w:color="auto" w:fill="auto"/>
            <w:vAlign w:val="center"/>
          </w:tcPr>
          <w:p w14:paraId="0E943126" w14:textId="629AB60D" w:rsidR="00130D6C" w:rsidRPr="005D4912" w:rsidRDefault="00FA64AC" w:rsidP="00130D6C">
            <w:pPr>
              <w:spacing w:after="0" w:line="240" w:lineRule="auto"/>
              <w:jc w:val="left"/>
              <w:rPr>
                <w:rFonts w:eastAsia="Times New Roman" w:cs="Arial"/>
              </w:rPr>
            </w:pPr>
            <w:r>
              <w:rPr>
                <w:rFonts w:eastAsia="Times New Roman" w:cs="Arial"/>
              </w:rPr>
              <w:t>SMRs</w:t>
            </w:r>
            <w:r w:rsidR="00130D6C" w:rsidRPr="005D4912">
              <w:rPr>
                <w:rFonts w:eastAsia="Times New Roman" w:cs="Arial"/>
              </w:rPr>
              <w:t xml:space="preserve"> are nuclear reactors that typically have an output of 300 MW or less and correspond to the International Atomic Energy Agency (“IAEA”) definition of a small-sized reactor</w:t>
            </w:r>
            <w:r w:rsidR="00680AEE">
              <w:rPr>
                <w:rFonts w:eastAsia="Times New Roman" w:cs="Arial"/>
              </w:rPr>
              <w:t xml:space="preserve">. </w:t>
            </w:r>
            <w:r w:rsidR="00130D6C" w:rsidRPr="005D4912">
              <w:rPr>
                <w:rFonts w:eastAsia="Times New Roman" w:cs="Arial"/>
              </w:rPr>
              <w:t>The modular component of SMRs refers to two attributes of the designs: (1) the ability of the reactor to be manufactured mostly in a factory setting and (2) each reactor is considered a separate module, thus allowing for phased installations at each site</w:t>
            </w:r>
            <w:r w:rsidR="00680AEE">
              <w:rPr>
                <w:rFonts w:eastAsia="Times New Roman" w:cs="Arial"/>
              </w:rPr>
              <w:t xml:space="preserve">. </w:t>
            </w:r>
            <w:r w:rsidR="00130D6C" w:rsidRPr="005D4912">
              <w:rPr>
                <w:rFonts w:eastAsia="Times New Roman" w:cs="Arial"/>
              </w:rPr>
              <w:t>SMR designs are currently in varying stages of design and development, globally</w:t>
            </w:r>
            <w:r w:rsidR="00680AEE">
              <w:rPr>
                <w:rFonts w:eastAsia="Times New Roman" w:cs="Arial"/>
              </w:rPr>
              <w:t xml:space="preserve">. </w:t>
            </w:r>
            <w:r w:rsidR="00130D6C" w:rsidRPr="005D4912">
              <w:rPr>
                <w:rFonts w:eastAsia="Times New Roman" w:cs="Arial"/>
              </w:rPr>
              <w:t>However, small nuclear reactors are not a new concept</w:t>
            </w:r>
            <w:r w:rsidR="00680AEE">
              <w:rPr>
                <w:rFonts w:eastAsia="Times New Roman" w:cs="Arial"/>
              </w:rPr>
              <w:t xml:space="preserve">. </w:t>
            </w:r>
            <w:r w:rsidR="00130D6C" w:rsidRPr="005D4912">
              <w:rPr>
                <w:rFonts w:eastAsia="Times New Roman" w:cs="Arial"/>
              </w:rPr>
              <w:t xml:space="preserve">For example, small nuclear reactors are a main energy source for the </w:t>
            </w:r>
            <w:r w:rsidR="007136B4">
              <w:rPr>
                <w:rFonts w:eastAsia="Times New Roman" w:cs="Arial"/>
              </w:rPr>
              <w:t>US</w:t>
            </w:r>
            <w:r w:rsidR="00130D6C" w:rsidRPr="005D4912">
              <w:rPr>
                <w:rFonts w:eastAsia="Times New Roman" w:cs="Arial"/>
              </w:rPr>
              <w:t xml:space="preserve"> Naval Fleet</w:t>
            </w:r>
            <w:r w:rsidR="00680AEE">
              <w:rPr>
                <w:rFonts w:eastAsia="Times New Roman" w:cs="Arial"/>
              </w:rPr>
              <w:t xml:space="preserve">. </w:t>
            </w:r>
            <w:r w:rsidR="00130D6C" w:rsidRPr="005D4912">
              <w:rPr>
                <w:rFonts w:eastAsia="Times New Roman" w:cs="Arial"/>
              </w:rPr>
              <w:t>Additionally, there are several operating nuclear reactors in the world that can be considered small</w:t>
            </w:r>
            <w:r w:rsidR="00680AEE">
              <w:rPr>
                <w:rFonts w:eastAsia="Times New Roman" w:cs="Arial"/>
              </w:rPr>
              <w:t xml:space="preserve">. </w:t>
            </w:r>
            <w:r w:rsidR="00130D6C" w:rsidRPr="005D4912">
              <w:rPr>
                <w:rFonts w:eastAsia="Times New Roman" w:cs="Arial"/>
              </w:rPr>
              <w:t>Conversely, SMRs are new designs that incorporate advancements in safety and technology</w:t>
            </w:r>
            <w:r w:rsidR="00680AEE">
              <w:rPr>
                <w:rFonts w:eastAsia="Times New Roman" w:cs="Arial"/>
              </w:rPr>
              <w:t xml:space="preserve">. </w:t>
            </w:r>
            <w:r w:rsidR="00130D6C" w:rsidRPr="005D4912">
              <w:rPr>
                <w:rFonts w:eastAsia="Times New Roman" w:cs="Arial"/>
              </w:rPr>
              <w:t>SMR manufacturers are proposing new Generation III+ and IV designs that incorporate concepts such as advanced safety design, smaller footprints and components, modular construction, smaller fuel sources, and new fuel designs</w:t>
            </w:r>
            <w:r w:rsidR="00680AEE">
              <w:rPr>
                <w:rFonts w:eastAsia="Times New Roman" w:cs="Arial"/>
              </w:rPr>
              <w:t xml:space="preserve">. </w:t>
            </w:r>
            <w:r w:rsidR="00130D6C" w:rsidRPr="005D4912">
              <w:rPr>
                <w:rFonts w:eastAsia="Times New Roman" w:cs="Arial"/>
              </w:rPr>
              <w:t>Several potential uses of SMRs have been identified, including remote and developing country electrification, retiring coal plant repowering, government and military base power, as well as incremental base load generation.</w:t>
            </w:r>
          </w:p>
        </w:tc>
        <w:tc>
          <w:tcPr>
            <w:tcW w:w="1325" w:type="pct"/>
            <w:shd w:val="clear" w:color="auto" w:fill="auto"/>
            <w:vAlign w:val="center"/>
          </w:tcPr>
          <w:p w14:paraId="662E3FFE"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191A156A" w14:textId="77777777" w:rsidTr="00130D6C">
        <w:trPr>
          <w:cantSplit/>
          <w:trHeight w:val="2535"/>
        </w:trPr>
        <w:tc>
          <w:tcPr>
            <w:tcW w:w="1437" w:type="pct"/>
            <w:shd w:val="clear" w:color="auto" w:fill="auto"/>
            <w:vAlign w:val="center"/>
            <w:hideMark/>
          </w:tcPr>
          <w:p w14:paraId="6B46E165" w14:textId="1E9CFE54" w:rsidR="00130D6C" w:rsidRPr="005D4912" w:rsidRDefault="00130D6C" w:rsidP="00130D6C">
            <w:pPr>
              <w:spacing w:after="0" w:line="240" w:lineRule="auto"/>
              <w:jc w:val="left"/>
              <w:rPr>
                <w:rFonts w:eastAsia="Times New Roman" w:cs="Arial"/>
              </w:rPr>
            </w:pPr>
            <w:r>
              <w:rPr>
                <w:rFonts w:eastAsia="Times New Roman" w:cs="Arial"/>
              </w:rPr>
              <w:t>31</w:t>
            </w:r>
            <w:r w:rsidRPr="005D4912">
              <w:rPr>
                <w:rFonts w:eastAsia="Times New Roman" w:cs="Arial"/>
              </w:rPr>
              <w:t>. Solar Thermal Parabolic Trough</w:t>
            </w:r>
          </w:p>
        </w:tc>
        <w:tc>
          <w:tcPr>
            <w:tcW w:w="2238" w:type="pct"/>
            <w:shd w:val="clear" w:color="auto" w:fill="auto"/>
            <w:vAlign w:val="center"/>
            <w:hideMark/>
          </w:tcPr>
          <w:p w14:paraId="1941CC1E" w14:textId="2557EDEE" w:rsidR="00130D6C" w:rsidRPr="005D4912" w:rsidRDefault="00130D6C" w:rsidP="00130D6C">
            <w:pPr>
              <w:spacing w:after="0" w:line="240" w:lineRule="auto"/>
              <w:jc w:val="left"/>
              <w:rPr>
                <w:rFonts w:eastAsia="Times New Roman" w:cs="Arial"/>
              </w:rPr>
            </w:pPr>
            <w:r w:rsidRPr="005D4912">
              <w:rPr>
                <w:rFonts w:eastAsia="Times New Roman" w:cs="Arial"/>
              </w:rPr>
              <w:t>Solar technologies based on focusing the sun’s energy to heat a working fluid operate most effectively in direct sunlight</w:t>
            </w:r>
            <w:r w:rsidR="00680AEE">
              <w:rPr>
                <w:rFonts w:eastAsia="Times New Roman" w:cs="Arial"/>
              </w:rPr>
              <w:t xml:space="preserve">. </w:t>
            </w:r>
            <w:r w:rsidRPr="005D4912">
              <w:rPr>
                <w:rFonts w:eastAsia="Times New Roman" w:cs="Arial"/>
              </w:rPr>
              <w:t>Diffuse solar insolation due to clouds and haze in the Southeast reduces the value of most solar thermal applications, and the high capital cost and large land area requirements are significant concerns</w:t>
            </w:r>
            <w:r w:rsidR="00680AEE">
              <w:rPr>
                <w:rFonts w:eastAsia="Times New Roman" w:cs="Arial"/>
              </w:rPr>
              <w:t xml:space="preserve">. </w:t>
            </w:r>
            <w:r w:rsidRPr="005D4912">
              <w:rPr>
                <w:rFonts w:eastAsia="Times New Roman" w:cs="Arial"/>
              </w:rPr>
              <w:t>The technology has good environmental characteristics</w:t>
            </w:r>
            <w:r w:rsidR="00680AEE">
              <w:rPr>
                <w:rFonts w:eastAsia="Times New Roman" w:cs="Arial"/>
              </w:rPr>
              <w:t xml:space="preserve">. </w:t>
            </w:r>
            <w:r w:rsidRPr="005D4912">
              <w:rPr>
                <w:rFonts w:eastAsia="Times New Roman" w:cs="Arial"/>
              </w:rPr>
              <w:t>One potential application of this technology is to use the steam that can be generated from this technology to augment the steam generated from a conventional fossil power plant or to augment thermal loads in processes such as post-combustion carbon capture, giving a lower-cost method of utilizing solar energy to power.</w:t>
            </w:r>
          </w:p>
        </w:tc>
        <w:tc>
          <w:tcPr>
            <w:tcW w:w="1325" w:type="pct"/>
            <w:shd w:val="clear" w:color="auto" w:fill="auto"/>
            <w:vAlign w:val="center"/>
            <w:hideMark/>
          </w:tcPr>
          <w:p w14:paraId="0C404815" w14:textId="2A7CECDB" w:rsidR="00130D6C" w:rsidRPr="005D4912" w:rsidRDefault="00130D6C" w:rsidP="00130D6C">
            <w:pPr>
              <w:spacing w:after="0" w:line="240" w:lineRule="auto"/>
              <w:jc w:val="left"/>
              <w:rPr>
                <w:rFonts w:eastAsia="Times New Roman" w:cs="Arial"/>
                <w:b/>
                <w:bCs/>
              </w:rPr>
            </w:pPr>
            <w:r>
              <w:rPr>
                <w:rFonts w:eastAsia="Times New Roman" w:cs="Arial"/>
                <w:b/>
                <w:bCs/>
              </w:rPr>
              <w:t>NOT RETAINED</w:t>
            </w:r>
            <w:r>
              <w:rPr>
                <w:rFonts w:eastAsia="Times New Roman" w:cs="Arial"/>
                <w:bCs/>
              </w:rPr>
              <w:t xml:space="preserve"> for further screening at this time because solar PV would be more cost effective</w:t>
            </w:r>
            <w:r w:rsidRPr="005D4912">
              <w:rPr>
                <w:rFonts w:eastAsia="Times New Roman" w:cs="Arial"/>
                <w:bCs/>
              </w:rPr>
              <w:t>.</w:t>
            </w:r>
          </w:p>
        </w:tc>
      </w:tr>
      <w:tr w:rsidR="00130D6C" w:rsidRPr="005D4912" w14:paraId="52250FBD" w14:textId="77777777" w:rsidTr="00130D6C">
        <w:trPr>
          <w:cantSplit/>
          <w:trHeight w:val="1905"/>
        </w:trPr>
        <w:tc>
          <w:tcPr>
            <w:tcW w:w="1437" w:type="pct"/>
            <w:shd w:val="clear" w:color="auto" w:fill="auto"/>
            <w:vAlign w:val="center"/>
            <w:hideMark/>
          </w:tcPr>
          <w:p w14:paraId="18B43770" w14:textId="15975B69" w:rsidR="00130D6C" w:rsidRPr="005D4912" w:rsidRDefault="00130D6C" w:rsidP="00130D6C">
            <w:pPr>
              <w:spacing w:after="0" w:line="240" w:lineRule="auto"/>
              <w:jc w:val="left"/>
              <w:rPr>
                <w:rFonts w:eastAsia="Times New Roman" w:cs="Arial"/>
              </w:rPr>
            </w:pPr>
            <w:r w:rsidRPr="005D4912">
              <w:rPr>
                <w:rFonts w:eastAsia="Times New Roman" w:cs="Arial"/>
              </w:rPr>
              <w:t>3</w:t>
            </w:r>
            <w:r>
              <w:rPr>
                <w:rFonts w:eastAsia="Times New Roman" w:cs="Arial"/>
              </w:rPr>
              <w:t>2</w:t>
            </w:r>
            <w:r w:rsidRPr="005D4912">
              <w:rPr>
                <w:rFonts w:eastAsia="Times New Roman" w:cs="Arial"/>
              </w:rPr>
              <w:t>. Solar PV</w:t>
            </w:r>
          </w:p>
        </w:tc>
        <w:tc>
          <w:tcPr>
            <w:tcW w:w="2238" w:type="pct"/>
            <w:shd w:val="clear" w:color="auto" w:fill="auto"/>
            <w:vAlign w:val="center"/>
            <w:hideMark/>
          </w:tcPr>
          <w:p w14:paraId="54BF7271" w14:textId="3260882A" w:rsidR="00130D6C" w:rsidRPr="005D4912" w:rsidRDefault="00130D6C" w:rsidP="00130D6C">
            <w:pPr>
              <w:spacing w:after="0" w:line="240" w:lineRule="auto"/>
              <w:jc w:val="left"/>
              <w:rPr>
                <w:rFonts w:eastAsia="Times New Roman" w:cs="Arial"/>
              </w:rPr>
            </w:pPr>
            <w:r w:rsidRPr="005D4912">
              <w:rPr>
                <w:rFonts w:eastAsia="Times New Roman" w:cs="Arial"/>
              </w:rPr>
              <w:t>Cost has dropped significantly in recent years, Research continues to increase efficiency and reduce cost</w:t>
            </w:r>
            <w:r w:rsidR="00680AEE">
              <w:rPr>
                <w:rFonts w:eastAsia="Times New Roman" w:cs="Arial"/>
              </w:rPr>
              <w:t xml:space="preserve">. </w:t>
            </w:r>
            <w:r w:rsidRPr="005D4912">
              <w:rPr>
                <w:rFonts w:eastAsia="Times New Roman" w:cs="Arial"/>
              </w:rPr>
              <w:t xml:space="preserve">Issues include the </w:t>
            </w:r>
            <w:r w:rsidR="00266FFB" w:rsidRPr="005D4912">
              <w:rPr>
                <w:rFonts w:eastAsia="Times New Roman" w:cs="Arial"/>
              </w:rPr>
              <w:t>site-specific</w:t>
            </w:r>
            <w:r w:rsidRPr="005D4912">
              <w:rPr>
                <w:rFonts w:eastAsia="Times New Roman" w:cs="Arial"/>
              </w:rPr>
              <w:t xml:space="preserve"> solar insolation resource and large land area requirements</w:t>
            </w:r>
            <w:r w:rsidR="00680AEE">
              <w:rPr>
                <w:rFonts w:eastAsia="Times New Roman" w:cs="Arial"/>
              </w:rPr>
              <w:t xml:space="preserve">. </w:t>
            </w:r>
            <w:r w:rsidRPr="005D4912">
              <w:rPr>
                <w:rFonts w:eastAsia="Times New Roman" w:cs="Arial"/>
              </w:rPr>
              <w:t>Breakthroughs in PV technology could make this a very attractive alternative</w:t>
            </w:r>
            <w:r w:rsidR="00680AEE">
              <w:rPr>
                <w:rFonts w:eastAsia="Times New Roman" w:cs="Arial"/>
              </w:rPr>
              <w:t xml:space="preserve">. </w:t>
            </w:r>
            <w:r w:rsidRPr="005D4912">
              <w:rPr>
                <w:rFonts w:eastAsia="Times New Roman" w:cs="Arial"/>
              </w:rPr>
              <w:t>The technology has excellent environmental aspects.</w:t>
            </w:r>
          </w:p>
        </w:tc>
        <w:tc>
          <w:tcPr>
            <w:tcW w:w="1325" w:type="pct"/>
            <w:shd w:val="clear" w:color="auto" w:fill="auto"/>
            <w:vAlign w:val="center"/>
            <w:hideMark/>
          </w:tcPr>
          <w:p w14:paraId="4F964014"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RETAINED </w:t>
            </w:r>
            <w:r w:rsidRPr="005D4912">
              <w:rPr>
                <w:rFonts w:eastAsia="Times New Roman" w:cs="Arial"/>
                <w:bCs/>
              </w:rPr>
              <w:t>for further screening.</w:t>
            </w:r>
          </w:p>
        </w:tc>
      </w:tr>
      <w:tr w:rsidR="00130D6C" w:rsidRPr="005D4912" w14:paraId="1A0E819E" w14:textId="77777777" w:rsidTr="00130D6C">
        <w:trPr>
          <w:cantSplit/>
          <w:trHeight w:val="960"/>
        </w:trPr>
        <w:tc>
          <w:tcPr>
            <w:tcW w:w="1437" w:type="pct"/>
            <w:shd w:val="clear" w:color="auto" w:fill="auto"/>
            <w:vAlign w:val="center"/>
            <w:hideMark/>
          </w:tcPr>
          <w:p w14:paraId="72D9A2A5" w14:textId="6A9A9A6B" w:rsidR="00130D6C" w:rsidRPr="005D4912" w:rsidRDefault="00130D6C" w:rsidP="00130D6C">
            <w:pPr>
              <w:spacing w:after="0" w:line="240" w:lineRule="auto"/>
              <w:jc w:val="left"/>
              <w:rPr>
                <w:rFonts w:eastAsia="Times New Roman" w:cs="Arial"/>
              </w:rPr>
            </w:pPr>
            <w:r w:rsidRPr="005D4912">
              <w:rPr>
                <w:rFonts w:eastAsia="Times New Roman" w:cs="Arial"/>
              </w:rPr>
              <w:t>3</w:t>
            </w:r>
            <w:r>
              <w:rPr>
                <w:rFonts w:eastAsia="Times New Roman" w:cs="Arial"/>
              </w:rPr>
              <w:t>3</w:t>
            </w:r>
            <w:r w:rsidRPr="005D4912">
              <w:rPr>
                <w:rFonts w:eastAsia="Times New Roman" w:cs="Arial"/>
              </w:rPr>
              <w:t>. Wind Power</w:t>
            </w:r>
          </w:p>
        </w:tc>
        <w:tc>
          <w:tcPr>
            <w:tcW w:w="2238" w:type="pct"/>
            <w:shd w:val="clear" w:color="auto" w:fill="auto"/>
            <w:vAlign w:val="center"/>
            <w:hideMark/>
          </w:tcPr>
          <w:p w14:paraId="22417DBE" w14:textId="50684AEF" w:rsidR="00130D6C" w:rsidRPr="005D4912" w:rsidRDefault="00130D6C" w:rsidP="00130D6C">
            <w:pPr>
              <w:spacing w:after="0" w:line="240" w:lineRule="auto"/>
              <w:jc w:val="left"/>
              <w:rPr>
                <w:rFonts w:eastAsia="Times New Roman" w:cs="Arial"/>
              </w:rPr>
            </w:pPr>
            <w:r w:rsidRPr="005D4912">
              <w:rPr>
                <w:rFonts w:eastAsia="Times New Roman" w:cs="Arial"/>
              </w:rPr>
              <w:t xml:space="preserve">Available wind resources in the Southeastern </w:t>
            </w:r>
            <w:r w:rsidR="007136B4">
              <w:rPr>
                <w:rFonts w:eastAsia="Times New Roman" w:cs="Arial"/>
              </w:rPr>
              <w:t>United States</w:t>
            </w:r>
            <w:r w:rsidRPr="005D4912">
              <w:rPr>
                <w:rFonts w:eastAsia="Times New Roman" w:cs="Arial"/>
              </w:rPr>
              <w:t xml:space="preserve"> and the expected resulting capacity factors are not adequate</w:t>
            </w:r>
            <w:r w:rsidR="00991BED">
              <w:rPr>
                <w:rFonts w:eastAsia="Times New Roman" w:cs="Arial"/>
              </w:rPr>
              <w:t xml:space="preserve"> to support significant utility-</w:t>
            </w:r>
            <w:r w:rsidRPr="005D4912">
              <w:rPr>
                <w:rFonts w:eastAsia="Times New Roman" w:cs="Arial"/>
              </w:rPr>
              <w:t>scale use of this technology, based on current economics</w:t>
            </w:r>
            <w:r w:rsidR="00680AEE">
              <w:rPr>
                <w:rFonts w:eastAsia="Times New Roman" w:cs="Arial"/>
              </w:rPr>
              <w:t xml:space="preserve">. </w:t>
            </w:r>
            <w:r w:rsidRPr="005D4912">
              <w:rPr>
                <w:rFonts w:eastAsia="Times New Roman" w:cs="Arial"/>
              </w:rPr>
              <w:t>Advancing wind turbine technologies could increase potential viability.</w:t>
            </w:r>
          </w:p>
        </w:tc>
        <w:tc>
          <w:tcPr>
            <w:tcW w:w="1325" w:type="pct"/>
            <w:shd w:val="clear" w:color="auto" w:fill="auto"/>
            <w:vAlign w:val="center"/>
            <w:hideMark/>
          </w:tcPr>
          <w:p w14:paraId="4581A7C8"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RETAINED </w:t>
            </w:r>
            <w:r w:rsidRPr="005D4912">
              <w:rPr>
                <w:rFonts w:eastAsia="Times New Roman" w:cs="Arial"/>
                <w:bCs/>
              </w:rPr>
              <w:t>for further screening.</w:t>
            </w:r>
          </w:p>
        </w:tc>
      </w:tr>
      <w:tr w:rsidR="00130D6C" w:rsidRPr="005D4912" w14:paraId="7E9521AC" w14:textId="77777777" w:rsidTr="00130D6C">
        <w:trPr>
          <w:cantSplit/>
          <w:trHeight w:val="645"/>
        </w:trPr>
        <w:tc>
          <w:tcPr>
            <w:tcW w:w="1437" w:type="pct"/>
            <w:shd w:val="clear" w:color="auto" w:fill="auto"/>
            <w:vAlign w:val="center"/>
            <w:hideMark/>
          </w:tcPr>
          <w:p w14:paraId="398F5BB2" w14:textId="4822DB74" w:rsidR="00130D6C" w:rsidRPr="005D4912" w:rsidRDefault="00130D6C" w:rsidP="00130D6C">
            <w:pPr>
              <w:spacing w:after="0" w:line="240" w:lineRule="auto"/>
              <w:jc w:val="left"/>
              <w:rPr>
                <w:rFonts w:eastAsia="Times New Roman" w:cs="Arial"/>
              </w:rPr>
            </w:pPr>
            <w:r w:rsidRPr="005D4912">
              <w:rPr>
                <w:rFonts w:eastAsia="Times New Roman" w:cs="Arial"/>
              </w:rPr>
              <w:t>3</w:t>
            </w:r>
            <w:r>
              <w:rPr>
                <w:rFonts w:eastAsia="Times New Roman" w:cs="Arial"/>
              </w:rPr>
              <w:t>4</w:t>
            </w:r>
            <w:r w:rsidRPr="005D4912">
              <w:rPr>
                <w:rFonts w:eastAsia="Times New Roman" w:cs="Arial"/>
              </w:rPr>
              <w:t>. Tall Tower/Large Rotor Wind Power</w:t>
            </w:r>
          </w:p>
        </w:tc>
        <w:tc>
          <w:tcPr>
            <w:tcW w:w="2238" w:type="pct"/>
            <w:shd w:val="clear" w:color="auto" w:fill="auto"/>
            <w:vAlign w:val="center"/>
            <w:hideMark/>
          </w:tcPr>
          <w:p w14:paraId="4BBD9893" w14:textId="09F63A0E" w:rsidR="00130D6C" w:rsidRPr="005D4912" w:rsidRDefault="00130D6C" w:rsidP="00130D6C">
            <w:pPr>
              <w:spacing w:after="0" w:line="240" w:lineRule="auto"/>
              <w:jc w:val="left"/>
              <w:rPr>
                <w:rFonts w:eastAsia="Times New Roman" w:cs="Arial"/>
              </w:rPr>
            </w:pPr>
            <w:r w:rsidRPr="005D4912">
              <w:rPr>
                <w:rFonts w:eastAsia="Times New Roman" w:cs="Arial"/>
              </w:rPr>
              <w:t>Turbines with towers over 110m and rotor diameters greater than 110m</w:t>
            </w:r>
            <w:r w:rsidR="00680AEE">
              <w:rPr>
                <w:rFonts w:eastAsia="Times New Roman" w:cs="Arial"/>
              </w:rPr>
              <w:t xml:space="preserve">. </w:t>
            </w:r>
            <w:r w:rsidRPr="005D4912">
              <w:rPr>
                <w:rFonts w:eastAsia="Times New Roman" w:cs="Arial"/>
              </w:rPr>
              <w:t xml:space="preserve">There are currently no known installations in the </w:t>
            </w:r>
            <w:r w:rsidR="007136B4">
              <w:rPr>
                <w:rFonts w:eastAsia="Times New Roman" w:cs="Arial"/>
              </w:rPr>
              <w:t>United States</w:t>
            </w:r>
            <w:r w:rsidRPr="005D4912">
              <w:rPr>
                <w:rFonts w:eastAsia="Times New Roman" w:cs="Arial"/>
              </w:rPr>
              <w:t xml:space="preserve"> in this category, but improvements in turbine technology could allow for significantly higher capacity factors with a proportionately smaller increase in cost.</w:t>
            </w:r>
          </w:p>
        </w:tc>
        <w:tc>
          <w:tcPr>
            <w:tcW w:w="1325" w:type="pct"/>
            <w:shd w:val="clear" w:color="auto" w:fill="auto"/>
            <w:vAlign w:val="center"/>
            <w:hideMark/>
          </w:tcPr>
          <w:p w14:paraId="4393223C"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RETAINED </w:t>
            </w:r>
            <w:r w:rsidRPr="005D4912">
              <w:rPr>
                <w:rFonts w:eastAsia="Times New Roman" w:cs="Arial"/>
                <w:bCs/>
              </w:rPr>
              <w:t>for further screening.</w:t>
            </w:r>
          </w:p>
        </w:tc>
      </w:tr>
      <w:tr w:rsidR="00130D6C" w:rsidRPr="005D4912" w14:paraId="376DA211" w14:textId="77777777" w:rsidTr="00130D6C">
        <w:trPr>
          <w:cantSplit/>
          <w:trHeight w:val="960"/>
        </w:trPr>
        <w:tc>
          <w:tcPr>
            <w:tcW w:w="1437" w:type="pct"/>
            <w:shd w:val="clear" w:color="auto" w:fill="auto"/>
            <w:vAlign w:val="center"/>
            <w:hideMark/>
          </w:tcPr>
          <w:p w14:paraId="3A39C76F" w14:textId="7C49D025" w:rsidR="00130D6C" w:rsidRPr="005D4912" w:rsidRDefault="00130D6C" w:rsidP="00130D6C">
            <w:pPr>
              <w:spacing w:after="0" w:line="240" w:lineRule="auto"/>
              <w:jc w:val="left"/>
              <w:rPr>
                <w:rFonts w:eastAsia="Times New Roman" w:cs="Arial"/>
              </w:rPr>
            </w:pPr>
            <w:r w:rsidRPr="005D4912">
              <w:rPr>
                <w:rFonts w:eastAsia="Times New Roman" w:cs="Arial"/>
              </w:rPr>
              <w:t>3</w:t>
            </w:r>
            <w:r>
              <w:rPr>
                <w:rFonts w:eastAsia="Times New Roman" w:cs="Arial"/>
              </w:rPr>
              <w:t>5</w:t>
            </w:r>
            <w:r w:rsidRPr="005D4912">
              <w:rPr>
                <w:rFonts w:eastAsia="Times New Roman" w:cs="Arial"/>
              </w:rPr>
              <w:t>. Offshore Wind Power</w:t>
            </w:r>
          </w:p>
        </w:tc>
        <w:tc>
          <w:tcPr>
            <w:tcW w:w="2238" w:type="pct"/>
            <w:shd w:val="clear" w:color="auto" w:fill="auto"/>
            <w:vAlign w:val="center"/>
            <w:hideMark/>
          </w:tcPr>
          <w:p w14:paraId="55A4C238" w14:textId="3F1463DC" w:rsidR="00130D6C" w:rsidRPr="005D4912" w:rsidRDefault="00130D6C" w:rsidP="00130D6C">
            <w:pPr>
              <w:spacing w:after="0" w:line="240" w:lineRule="auto"/>
              <w:jc w:val="left"/>
              <w:rPr>
                <w:rFonts w:eastAsia="Times New Roman" w:cs="Arial"/>
              </w:rPr>
            </w:pPr>
            <w:r w:rsidRPr="005D4912">
              <w:rPr>
                <w:rFonts w:eastAsia="Times New Roman" w:cs="Arial"/>
              </w:rPr>
              <w:t>There is a significant</w:t>
            </w:r>
            <w:r w:rsidR="006549F0">
              <w:rPr>
                <w:rFonts w:eastAsia="Times New Roman" w:cs="Arial"/>
              </w:rPr>
              <w:t xml:space="preserve"> resource in the Southeastern </w:t>
            </w:r>
            <w:r w:rsidR="007136B4">
              <w:rPr>
                <w:rFonts w:eastAsia="Times New Roman" w:cs="Arial"/>
              </w:rPr>
              <w:t>United States</w:t>
            </w:r>
            <w:r w:rsidRPr="005D4912" w:rsidDel="00D21E80">
              <w:rPr>
                <w:rFonts w:eastAsia="Times New Roman" w:cs="Arial"/>
              </w:rPr>
              <w:t xml:space="preserve"> </w:t>
            </w:r>
            <w:r w:rsidRPr="005D4912">
              <w:rPr>
                <w:rFonts w:eastAsia="Times New Roman" w:cs="Arial"/>
              </w:rPr>
              <w:t>for offshore wind, but that resource needs to be directly measured to reduce uncertainty</w:t>
            </w:r>
            <w:r w:rsidR="00680AEE">
              <w:rPr>
                <w:rFonts w:eastAsia="Times New Roman" w:cs="Arial"/>
              </w:rPr>
              <w:t xml:space="preserve">. </w:t>
            </w:r>
            <w:r w:rsidRPr="005D4912">
              <w:rPr>
                <w:rFonts w:eastAsia="Times New Roman" w:cs="Arial"/>
              </w:rPr>
              <w:t xml:space="preserve">As of the end of 2015, there is only one project in the </w:t>
            </w:r>
            <w:r w:rsidR="007136B4">
              <w:rPr>
                <w:rFonts w:eastAsia="Times New Roman" w:cs="Arial"/>
              </w:rPr>
              <w:t>United States</w:t>
            </w:r>
            <w:r w:rsidRPr="005D4912">
              <w:rPr>
                <w:rFonts w:eastAsia="Times New Roman" w:cs="Arial"/>
              </w:rPr>
              <w:t xml:space="preserve"> moving forward with development and construction; the Block Island project (~30</w:t>
            </w:r>
            <w:r w:rsidR="00667444">
              <w:rPr>
                <w:rFonts w:eastAsia="Times New Roman" w:cs="Arial"/>
              </w:rPr>
              <w:t xml:space="preserve"> </w:t>
            </w:r>
            <w:r w:rsidRPr="005D4912">
              <w:rPr>
                <w:rFonts w:eastAsia="Times New Roman" w:cs="Arial"/>
              </w:rPr>
              <w:t>MW)</w:t>
            </w:r>
          </w:p>
        </w:tc>
        <w:tc>
          <w:tcPr>
            <w:tcW w:w="1325" w:type="pct"/>
            <w:shd w:val="clear" w:color="auto" w:fill="auto"/>
            <w:vAlign w:val="center"/>
            <w:hideMark/>
          </w:tcPr>
          <w:p w14:paraId="2CBBB077"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RETAINED </w:t>
            </w:r>
            <w:r w:rsidRPr="005D4912">
              <w:rPr>
                <w:rFonts w:eastAsia="Times New Roman" w:cs="Arial"/>
                <w:bCs/>
              </w:rPr>
              <w:t>for further screening.</w:t>
            </w:r>
          </w:p>
        </w:tc>
      </w:tr>
      <w:tr w:rsidR="00130D6C" w:rsidRPr="005D4912" w14:paraId="20351128" w14:textId="77777777" w:rsidTr="00130D6C">
        <w:trPr>
          <w:cantSplit/>
          <w:trHeight w:val="960"/>
        </w:trPr>
        <w:tc>
          <w:tcPr>
            <w:tcW w:w="1437" w:type="pct"/>
            <w:shd w:val="clear" w:color="auto" w:fill="auto"/>
            <w:vAlign w:val="center"/>
            <w:hideMark/>
          </w:tcPr>
          <w:p w14:paraId="03EF420B" w14:textId="689DEC25" w:rsidR="00130D6C" w:rsidRPr="005D4912" w:rsidRDefault="00101345" w:rsidP="00130D6C">
            <w:pPr>
              <w:spacing w:after="0" w:line="240" w:lineRule="auto"/>
              <w:jc w:val="left"/>
              <w:rPr>
                <w:rFonts w:eastAsia="Times New Roman" w:cs="Arial"/>
              </w:rPr>
            </w:pPr>
            <w:r w:rsidRPr="005D4912">
              <w:rPr>
                <w:rFonts w:eastAsia="Times New Roman" w:cs="Arial"/>
              </w:rPr>
              <w:t>3</w:t>
            </w:r>
            <w:r>
              <w:rPr>
                <w:rFonts w:eastAsia="Times New Roman" w:cs="Arial"/>
              </w:rPr>
              <w:t>6</w:t>
            </w:r>
            <w:r w:rsidRPr="005D4912">
              <w:rPr>
                <w:rFonts w:eastAsia="Times New Roman" w:cs="Arial"/>
              </w:rPr>
              <w:t>. Municipal Solid Waste (“MSW”)</w:t>
            </w:r>
          </w:p>
        </w:tc>
        <w:tc>
          <w:tcPr>
            <w:tcW w:w="2238" w:type="pct"/>
            <w:shd w:val="clear" w:color="auto" w:fill="auto"/>
            <w:vAlign w:val="center"/>
            <w:hideMark/>
          </w:tcPr>
          <w:p w14:paraId="0CC547A3" w14:textId="43AF56CD" w:rsidR="00130D6C" w:rsidRPr="005D4912" w:rsidRDefault="00130D6C" w:rsidP="00130D6C">
            <w:pPr>
              <w:spacing w:after="0" w:line="240" w:lineRule="auto"/>
              <w:jc w:val="left"/>
              <w:rPr>
                <w:rFonts w:eastAsia="Times New Roman" w:cs="Arial"/>
              </w:rPr>
            </w:pPr>
            <w:r w:rsidRPr="005D4912">
              <w:rPr>
                <w:rFonts w:eastAsia="Times New Roman" w:cs="Arial"/>
              </w:rPr>
              <w:t>MSW generation has been used in some locales where landfills are too expensive or environmentally unacceptable</w:t>
            </w:r>
            <w:r w:rsidR="00680AEE">
              <w:rPr>
                <w:rFonts w:eastAsia="Times New Roman" w:cs="Arial"/>
              </w:rPr>
              <w:t xml:space="preserve">. </w:t>
            </w:r>
            <w:r w:rsidRPr="005D4912">
              <w:rPr>
                <w:rFonts w:eastAsia="Times New Roman" w:cs="Arial"/>
              </w:rPr>
              <w:t>Thus, it has some potential but is highly site-specific and limited in ultimate quantity.</w:t>
            </w:r>
          </w:p>
        </w:tc>
        <w:tc>
          <w:tcPr>
            <w:tcW w:w="1325" w:type="pct"/>
            <w:shd w:val="clear" w:color="auto" w:fill="auto"/>
            <w:vAlign w:val="center"/>
            <w:hideMark/>
          </w:tcPr>
          <w:p w14:paraId="0759EF11"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NOT RETAINED</w:t>
            </w:r>
            <w:r w:rsidRPr="005D4912">
              <w:rPr>
                <w:rFonts w:eastAsia="Times New Roman" w:cs="Arial"/>
                <w:bCs/>
              </w:rPr>
              <w:t xml:space="preserve"> for further screening at this time</w:t>
            </w:r>
            <w:r w:rsidRPr="005D4912">
              <w:rPr>
                <w:rFonts w:eastAsia="Times New Roman" w:cs="Arial"/>
                <w:b/>
                <w:bCs/>
              </w:rPr>
              <w:t xml:space="preserve"> </w:t>
            </w:r>
            <w:r w:rsidRPr="005D4912">
              <w:rPr>
                <w:rFonts w:eastAsia="Times New Roman" w:cs="Arial"/>
                <w:bCs/>
              </w:rPr>
              <w:t>due to limited interest and high level of environmental concern.</w:t>
            </w:r>
          </w:p>
        </w:tc>
      </w:tr>
      <w:tr w:rsidR="00130D6C" w:rsidRPr="005D4912" w14:paraId="11F8E6A9" w14:textId="77777777" w:rsidTr="00130D6C">
        <w:trPr>
          <w:cantSplit/>
          <w:trHeight w:val="2220"/>
        </w:trPr>
        <w:tc>
          <w:tcPr>
            <w:tcW w:w="1437" w:type="pct"/>
            <w:shd w:val="clear" w:color="auto" w:fill="auto"/>
            <w:vAlign w:val="center"/>
            <w:hideMark/>
          </w:tcPr>
          <w:p w14:paraId="2EDFE4ED" w14:textId="28335F75" w:rsidR="00130D6C" w:rsidRPr="005D4912" w:rsidRDefault="00130D6C" w:rsidP="00130D6C">
            <w:pPr>
              <w:spacing w:after="0" w:line="240" w:lineRule="auto"/>
              <w:jc w:val="left"/>
              <w:rPr>
                <w:rFonts w:eastAsia="Times New Roman" w:cs="Arial"/>
              </w:rPr>
            </w:pPr>
            <w:r w:rsidRPr="005D4912">
              <w:rPr>
                <w:rFonts w:eastAsia="Times New Roman" w:cs="Arial"/>
              </w:rPr>
              <w:t>3</w:t>
            </w:r>
            <w:r>
              <w:rPr>
                <w:rFonts w:eastAsia="Times New Roman" w:cs="Arial"/>
              </w:rPr>
              <w:t>7</w:t>
            </w:r>
            <w:r w:rsidRPr="005D4912">
              <w:rPr>
                <w:rFonts w:eastAsia="Times New Roman" w:cs="Arial"/>
              </w:rPr>
              <w:t>. Dedicated Biomass (wood, etc.)</w:t>
            </w:r>
          </w:p>
        </w:tc>
        <w:tc>
          <w:tcPr>
            <w:tcW w:w="2238" w:type="pct"/>
            <w:shd w:val="clear" w:color="auto" w:fill="auto"/>
            <w:vAlign w:val="center"/>
            <w:hideMark/>
          </w:tcPr>
          <w:p w14:paraId="5E5E372E" w14:textId="6B172E4C" w:rsidR="00130D6C" w:rsidRPr="005D4912" w:rsidRDefault="00130D6C" w:rsidP="00130D6C">
            <w:pPr>
              <w:spacing w:after="0" w:line="240" w:lineRule="auto"/>
              <w:jc w:val="left"/>
              <w:rPr>
                <w:rFonts w:eastAsia="Times New Roman" w:cs="Arial"/>
              </w:rPr>
            </w:pPr>
            <w:r w:rsidRPr="005D4912">
              <w:rPr>
                <w:rFonts w:eastAsia="Times New Roman" w:cs="Arial"/>
              </w:rPr>
              <w:t>Biomass (wood, wood waste, agricultural residues) is widely available in the Southeast</w:t>
            </w:r>
            <w:r w:rsidR="00680AEE">
              <w:rPr>
                <w:rFonts w:eastAsia="Times New Roman" w:cs="Arial"/>
              </w:rPr>
              <w:t xml:space="preserve">. </w:t>
            </w:r>
            <w:r w:rsidRPr="005D4912">
              <w:rPr>
                <w:rFonts w:eastAsia="Times New Roman" w:cs="Arial"/>
              </w:rPr>
              <w:t>A dedicated biomass-fired power plant of 50</w:t>
            </w:r>
            <w:r w:rsidR="00667444">
              <w:rPr>
                <w:rFonts w:eastAsia="Times New Roman" w:cs="Arial"/>
              </w:rPr>
              <w:t xml:space="preserve"> </w:t>
            </w:r>
            <w:r w:rsidRPr="005D4912">
              <w:rPr>
                <w:rFonts w:eastAsia="Times New Roman" w:cs="Arial"/>
              </w:rPr>
              <w:t>MW to 100</w:t>
            </w:r>
            <w:r w:rsidR="00667444">
              <w:rPr>
                <w:rFonts w:eastAsia="Times New Roman" w:cs="Arial"/>
              </w:rPr>
              <w:t xml:space="preserve"> </w:t>
            </w:r>
            <w:r w:rsidRPr="005D4912">
              <w:rPr>
                <w:rFonts w:eastAsia="Times New Roman" w:cs="Arial"/>
              </w:rPr>
              <w:t>MW in size is feasible</w:t>
            </w:r>
            <w:r w:rsidR="00680AEE">
              <w:rPr>
                <w:rFonts w:eastAsia="Times New Roman" w:cs="Arial"/>
              </w:rPr>
              <w:t xml:space="preserve">. </w:t>
            </w:r>
            <w:r w:rsidRPr="005D4912">
              <w:rPr>
                <w:rFonts w:eastAsia="Times New Roman" w:cs="Arial"/>
              </w:rPr>
              <w:t>Major consideration is obtaining fuel under a long-term contract at a reasonable (and low) price</w:t>
            </w:r>
            <w:r w:rsidR="00680AEE">
              <w:rPr>
                <w:rFonts w:eastAsia="Times New Roman" w:cs="Arial"/>
              </w:rPr>
              <w:t xml:space="preserve">. </w:t>
            </w:r>
            <w:r w:rsidRPr="005D4912">
              <w:rPr>
                <w:rFonts w:eastAsia="Times New Roman" w:cs="Arial"/>
              </w:rPr>
              <w:t>The plant may rely on gasification of biomass, followed by a CT to convert the gas to electricity</w:t>
            </w:r>
            <w:r w:rsidR="00680AEE">
              <w:rPr>
                <w:rFonts w:eastAsia="Times New Roman" w:cs="Arial"/>
              </w:rPr>
              <w:t xml:space="preserve">. </w:t>
            </w:r>
            <w:r w:rsidRPr="005D4912">
              <w:rPr>
                <w:rFonts w:eastAsia="Times New Roman" w:cs="Arial"/>
              </w:rPr>
              <w:t>Raw biomass tends to have a high transportation cost, due to its low energy-density in raw form</w:t>
            </w:r>
            <w:r w:rsidR="00680AEE">
              <w:rPr>
                <w:rFonts w:eastAsia="Times New Roman" w:cs="Arial"/>
              </w:rPr>
              <w:t xml:space="preserve">. </w:t>
            </w:r>
            <w:r w:rsidRPr="005D4912">
              <w:rPr>
                <w:rFonts w:eastAsia="Times New Roman" w:cs="Arial"/>
              </w:rPr>
              <w:t>This places an upper limit on the size of a dedicated biomass-consuming power plant.</w:t>
            </w:r>
          </w:p>
        </w:tc>
        <w:tc>
          <w:tcPr>
            <w:tcW w:w="1325" w:type="pct"/>
            <w:shd w:val="clear" w:color="auto" w:fill="auto"/>
            <w:vAlign w:val="center"/>
            <w:hideMark/>
          </w:tcPr>
          <w:p w14:paraId="5F77CCCE"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44F5737F" w14:textId="77777777" w:rsidTr="00130D6C">
        <w:trPr>
          <w:cantSplit/>
          <w:trHeight w:val="1905"/>
        </w:trPr>
        <w:tc>
          <w:tcPr>
            <w:tcW w:w="1437" w:type="pct"/>
            <w:shd w:val="clear" w:color="auto" w:fill="auto"/>
            <w:vAlign w:val="center"/>
            <w:hideMark/>
          </w:tcPr>
          <w:p w14:paraId="14B5A37C" w14:textId="55E1C832" w:rsidR="00130D6C" w:rsidRPr="005D4912" w:rsidRDefault="00130D6C" w:rsidP="00130D6C">
            <w:pPr>
              <w:spacing w:after="0" w:line="240" w:lineRule="auto"/>
              <w:jc w:val="left"/>
              <w:rPr>
                <w:rFonts w:eastAsia="Times New Roman" w:cs="Arial"/>
              </w:rPr>
            </w:pPr>
            <w:r>
              <w:rPr>
                <w:rFonts w:eastAsia="Times New Roman" w:cs="Arial"/>
              </w:rPr>
              <w:t>38</w:t>
            </w:r>
            <w:r w:rsidRPr="005D4912">
              <w:rPr>
                <w:rFonts w:eastAsia="Times New Roman" w:cs="Arial"/>
              </w:rPr>
              <w:t>. Co-fired Biomass or Wood Waste</w:t>
            </w:r>
          </w:p>
        </w:tc>
        <w:tc>
          <w:tcPr>
            <w:tcW w:w="2238" w:type="pct"/>
            <w:shd w:val="clear" w:color="auto" w:fill="auto"/>
            <w:vAlign w:val="center"/>
            <w:hideMark/>
          </w:tcPr>
          <w:p w14:paraId="174D8778" w14:textId="5FCB03A9" w:rsidR="00130D6C" w:rsidRPr="005D4912" w:rsidRDefault="00130D6C" w:rsidP="00130D6C">
            <w:pPr>
              <w:spacing w:after="0" w:line="240" w:lineRule="auto"/>
              <w:jc w:val="left"/>
              <w:rPr>
                <w:rFonts w:eastAsia="Times New Roman" w:cs="Arial"/>
              </w:rPr>
            </w:pPr>
            <w:r w:rsidRPr="005D4912">
              <w:rPr>
                <w:rFonts w:eastAsia="Times New Roman" w:cs="Arial"/>
              </w:rPr>
              <w:t xml:space="preserve">Co-firing of switchgrass and wood waste has been demonstrated at several </w:t>
            </w:r>
            <w:r w:rsidR="00643CE8">
              <w:rPr>
                <w:rFonts w:eastAsia="Times New Roman" w:cs="Arial"/>
              </w:rPr>
              <w:t>S</w:t>
            </w:r>
            <w:r w:rsidRPr="005D4912">
              <w:rPr>
                <w:rFonts w:eastAsia="Times New Roman" w:cs="Arial"/>
              </w:rPr>
              <w:t>ystem power stations</w:t>
            </w:r>
            <w:r w:rsidR="00680AEE">
              <w:rPr>
                <w:rFonts w:eastAsia="Times New Roman" w:cs="Arial"/>
              </w:rPr>
              <w:t xml:space="preserve">. </w:t>
            </w:r>
            <w:r w:rsidRPr="005D4912">
              <w:rPr>
                <w:rFonts w:eastAsia="Times New Roman" w:cs="Arial"/>
              </w:rPr>
              <w:t>Co-firing of these materials is now routine in AL and MS for green power pricing programs</w:t>
            </w:r>
            <w:r w:rsidR="00680AEE">
              <w:rPr>
                <w:rFonts w:eastAsia="Times New Roman" w:cs="Arial"/>
              </w:rPr>
              <w:t xml:space="preserve">. </w:t>
            </w:r>
            <w:r w:rsidRPr="005D4912">
              <w:rPr>
                <w:rFonts w:eastAsia="Times New Roman" w:cs="Arial"/>
              </w:rPr>
              <w:t>Co-firing at up to 10% is probably the upper limit with traditional woody biomass</w:t>
            </w:r>
            <w:r w:rsidR="00680AEE">
              <w:rPr>
                <w:rFonts w:eastAsia="Times New Roman" w:cs="Arial"/>
              </w:rPr>
              <w:t xml:space="preserve">. </w:t>
            </w:r>
            <w:r w:rsidRPr="005D4912">
              <w:rPr>
                <w:rFonts w:eastAsia="Times New Roman" w:cs="Arial"/>
              </w:rPr>
              <w:t xml:space="preserve">Co-firing at higher levels with advanced fuels such as pellets and torrefied wood is possible but is potentially detrimental to </w:t>
            </w:r>
            <w:r w:rsidR="005517AF">
              <w:rPr>
                <w:rFonts w:eastAsia="Times New Roman" w:cs="Arial"/>
              </w:rPr>
              <w:t>selective catalytic reduction (“</w:t>
            </w:r>
            <w:r w:rsidRPr="005D4912">
              <w:rPr>
                <w:rFonts w:eastAsia="Times New Roman" w:cs="Arial"/>
              </w:rPr>
              <w:t>SCR</w:t>
            </w:r>
            <w:r w:rsidR="005517AF">
              <w:rPr>
                <w:rFonts w:eastAsia="Times New Roman" w:cs="Arial"/>
              </w:rPr>
              <w:t>”)</w:t>
            </w:r>
            <w:r w:rsidRPr="005D4912">
              <w:rPr>
                <w:rFonts w:eastAsia="Times New Roman" w:cs="Arial"/>
              </w:rPr>
              <w:t xml:space="preserve"> emission reduction system catalysts.</w:t>
            </w:r>
          </w:p>
        </w:tc>
        <w:tc>
          <w:tcPr>
            <w:tcW w:w="1325" w:type="pct"/>
            <w:shd w:val="clear" w:color="auto" w:fill="auto"/>
            <w:vAlign w:val="center"/>
            <w:hideMark/>
          </w:tcPr>
          <w:p w14:paraId="1452BBA5"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6936ECB4" w14:textId="77777777" w:rsidTr="00130D6C">
        <w:trPr>
          <w:cantSplit/>
          <w:trHeight w:val="1590"/>
        </w:trPr>
        <w:tc>
          <w:tcPr>
            <w:tcW w:w="1437" w:type="pct"/>
            <w:shd w:val="clear" w:color="auto" w:fill="auto"/>
            <w:vAlign w:val="center"/>
            <w:hideMark/>
          </w:tcPr>
          <w:p w14:paraId="175C9EB7" w14:textId="51CA04F3" w:rsidR="00130D6C" w:rsidRPr="005D4912" w:rsidRDefault="00130D6C" w:rsidP="00130D6C">
            <w:pPr>
              <w:spacing w:after="0" w:line="240" w:lineRule="auto"/>
              <w:jc w:val="left"/>
              <w:rPr>
                <w:rFonts w:eastAsia="Times New Roman" w:cs="Arial"/>
              </w:rPr>
            </w:pPr>
            <w:r>
              <w:rPr>
                <w:rFonts w:eastAsia="Times New Roman" w:cs="Arial"/>
              </w:rPr>
              <w:t>39</w:t>
            </w:r>
            <w:r w:rsidRPr="005D4912">
              <w:rPr>
                <w:rFonts w:eastAsia="Times New Roman" w:cs="Arial"/>
              </w:rPr>
              <w:t>. Landfill Gas</w:t>
            </w:r>
          </w:p>
        </w:tc>
        <w:tc>
          <w:tcPr>
            <w:tcW w:w="2238" w:type="pct"/>
            <w:shd w:val="clear" w:color="auto" w:fill="auto"/>
            <w:vAlign w:val="center"/>
            <w:hideMark/>
          </w:tcPr>
          <w:p w14:paraId="57418235" w14:textId="320E2C9D" w:rsidR="00130D6C" w:rsidRPr="005D4912" w:rsidRDefault="00130D6C" w:rsidP="00130D6C">
            <w:pPr>
              <w:spacing w:after="0" w:line="240" w:lineRule="auto"/>
              <w:jc w:val="left"/>
              <w:rPr>
                <w:rFonts w:eastAsia="Times New Roman" w:cs="Arial"/>
              </w:rPr>
            </w:pPr>
            <w:r w:rsidRPr="005D4912">
              <w:rPr>
                <w:rFonts w:eastAsia="Times New Roman" w:cs="Arial"/>
              </w:rPr>
              <w:t>Capped landfills produce methane gas through anaerobic digestion of the landfill contents</w:t>
            </w:r>
            <w:r w:rsidR="00680AEE">
              <w:rPr>
                <w:rFonts w:eastAsia="Times New Roman" w:cs="Arial"/>
              </w:rPr>
              <w:t xml:space="preserve">. </w:t>
            </w:r>
            <w:r w:rsidRPr="005D4912">
              <w:rPr>
                <w:rFonts w:eastAsia="Times New Roman" w:cs="Arial"/>
              </w:rPr>
              <w:t>The gas has about half the energy of natural gas per cubic foot and can be burned in engines or co-fired in natural gas boilers or turbines</w:t>
            </w:r>
            <w:r w:rsidR="00680AEE">
              <w:rPr>
                <w:rFonts w:eastAsia="Times New Roman" w:cs="Arial"/>
              </w:rPr>
              <w:t xml:space="preserve">. </w:t>
            </w:r>
            <w:r w:rsidRPr="005D4912">
              <w:rPr>
                <w:rFonts w:eastAsia="Times New Roman" w:cs="Arial"/>
              </w:rPr>
              <w:t>Many environmental advantages with possible economic viability are present</w:t>
            </w:r>
            <w:r w:rsidR="00680AEE">
              <w:rPr>
                <w:rFonts w:eastAsia="Times New Roman" w:cs="Arial"/>
              </w:rPr>
              <w:t xml:space="preserve">. </w:t>
            </w:r>
            <w:r w:rsidRPr="005D4912">
              <w:rPr>
                <w:rFonts w:eastAsia="Times New Roman" w:cs="Arial"/>
              </w:rPr>
              <w:t>A single large landfill may provide gas for 7</w:t>
            </w:r>
            <w:r w:rsidR="00667444">
              <w:rPr>
                <w:rFonts w:eastAsia="Times New Roman" w:cs="Arial"/>
              </w:rPr>
              <w:t xml:space="preserve"> </w:t>
            </w:r>
            <w:r w:rsidRPr="005D4912">
              <w:rPr>
                <w:rFonts w:eastAsia="Times New Roman" w:cs="Arial"/>
              </w:rPr>
              <w:t>MW max.</w:t>
            </w:r>
          </w:p>
        </w:tc>
        <w:tc>
          <w:tcPr>
            <w:tcW w:w="1325" w:type="pct"/>
            <w:shd w:val="clear" w:color="auto" w:fill="auto"/>
            <w:vAlign w:val="center"/>
            <w:hideMark/>
          </w:tcPr>
          <w:p w14:paraId="072D2025"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RETAINED</w:t>
            </w:r>
            <w:r w:rsidRPr="005D4912">
              <w:rPr>
                <w:rFonts w:eastAsia="Times New Roman" w:cs="Arial"/>
              </w:rPr>
              <w:t xml:space="preserve"> for further screening.</w:t>
            </w:r>
          </w:p>
        </w:tc>
      </w:tr>
      <w:tr w:rsidR="00130D6C" w:rsidRPr="005D4912" w14:paraId="384E8552" w14:textId="77777777" w:rsidTr="00130D6C">
        <w:trPr>
          <w:cantSplit/>
          <w:trHeight w:val="1275"/>
        </w:trPr>
        <w:tc>
          <w:tcPr>
            <w:tcW w:w="1437" w:type="pct"/>
            <w:shd w:val="clear" w:color="auto" w:fill="auto"/>
            <w:vAlign w:val="center"/>
            <w:hideMark/>
          </w:tcPr>
          <w:p w14:paraId="7B23973E" w14:textId="4E2CAF80" w:rsidR="00130D6C" w:rsidRPr="005D4912" w:rsidRDefault="00130D6C" w:rsidP="00130D6C">
            <w:pPr>
              <w:spacing w:after="0" w:line="240" w:lineRule="auto"/>
              <w:jc w:val="left"/>
              <w:rPr>
                <w:rFonts w:eastAsia="Times New Roman" w:cs="Arial"/>
              </w:rPr>
            </w:pPr>
            <w:r>
              <w:rPr>
                <w:rFonts w:eastAsia="Times New Roman" w:cs="Arial"/>
              </w:rPr>
              <w:t>40</w:t>
            </w:r>
            <w:r w:rsidRPr="005D4912">
              <w:rPr>
                <w:rFonts w:eastAsia="Times New Roman" w:cs="Arial"/>
              </w:rPr>
              <w:t>. Geothermal</w:t>
            </w:r>
          </w:p>
        </w:tc>
        <w:tc>
          <w:tcPr>
            <w:tcW w:w="2238" w:type="pct"/>
            <w:shd w:val="clear" w:color="auto" w:fill="auto"/>
            <w:vAlign w:val="center"/>
            <w:hideMark/>
          </w:tcPr>
          <w:p w14:paraId="1F6E2E45" w14:textId="39CDE86D" w:rsidR="00130D6C" w:rsidRPr="005D4912" w:rsidRDefault="00130D6C" w:rsidP="00130D6C">
            <w:pPr>
              <w:spacing w:after="0" w:line="240" w:lineRule="auto"/>
              <w:jc w:val="left"/>
              <w:rPr>
                <w:rFonts w:eastAsia="Times New Roman" w:cs="Arial"/>
              </w:rPr>
            </w:pPr>
            <w:r w:rsidRPr="005D4912">
              <w:rPr>
                <w:rFonts w:eastAsia="Times New Roman" w:cs="Arial"/>
              </w:rPr>
              <w:t xml:space="preserve">Geothermal resources in the Southeastern </w:t>
            </w:r>
            <w:r w:rsidR="007136B4">
              <w:rPr>
                <w:rFonts w:eastAsia="Times New Roman" w:cs="Arial"/>
              </w:rPr>
              <w:t>United States</w:t>
            </w:r>
            <w:r w:rsidRPr="005D4912">
              <w:rPr>
                <w:rFonts w:eastAsia="Times New Roman" w:cs="Arial"/>
              </w:rPr>
              <w:t xml:space="preserve"> are not adequate to support utility scale of this technology</w:t>
            </w:r>
            <w:r w:rsidR="00680AEE">
              <w:rPr>
                <w:rFonts w:eastAsia="Times New Roman" w:cs="Arial"/>
              </w:rPr>
              <w:t xml:space="preserve">. </w:t>
            </w:r>
            <w:r w:rsidRPr="005D4912">
              <w:rPr>
                <w:rFonts w:eastAsia="Times New Roman" w:cs="Arial"/>
              </w:rPr>
              <w:t>Technologies are being monitored on a research level for potential niche applications.</w:t>
            </w:r>
          </w:p>
        </w:tc>
        <w:tc>
          <w:tcPr>
            <w:tcW w:w="1325" w:type="pct"/>
            <w:shd w:val="clear" w:color="auto" w:fill="auto"/>
            <w:vAlign w:val="center"/>
            <w:hideMark/>
          </w:tcPr>
          <w:p w14:paraId="60F1D392"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limited applicability in Georgia Power’s and Southern Company’s territory.</w:t>
            </w:r>
          </w:p>
        </w:tc>
      </w:tr>
      <w:tr w:rsidR="00130D6C" w:rsidRPr="005D4912" w14:paraId="2581ABED" w14:textId="77777777" w:rsidTr="00130D6C">
        <w:trPr>
          <w:cantSplit/>
          <w:trHeight w:val="1905"/>
        </w:trPr>
        <w:tc>
          <w:tcPr>
            <w:tcW w:w="1437" w:type="pct"/>
            <w:shd w:val="clear" w:color="auto" w:fill="auto"/>
            <w:vAlign w:val="center"/>
            <w:hideMark/>
          </w:tcPr>
          <w:p w14:paraId="375D693D" w14:textId="23559772" w:rsidR="00130D6C" w:rsidRPr="005D4912" w:rsidRDefault="00130D6C" w:rsidP="00130D6C">
            <w:pPr>
              <w:spacing w:after="0" w:line="240" w:lineRule="auto"/>
              <w:jc w:val="left"/>
              <w:rPr>
                <w:rFonts w:eastAsia="Times New Roman" w:cs="Arial"/>
              </w:rPr>
            </w:pPr>
            <w:r w:rsidRPr="005D4912">
              <w:rPr>
                <w:rFonts w:eastAsia="Times New Roman" w:cs="Arial"/>
              </w:rPr>
              <w:t>4</w:t>
            </w:r>
            <w:r>
              <w:rPr>
                <w:rFonts w:eastAsia="Times New Roman" w:cs="Arial"/>
              </w:rPr>
              <w:t>1</w:t>
            </w:r>
            <w:r w:rsidRPr="005D4912">
              <w:rPr>
                <w:rFonts w:eastAsia="Times New Roman" w:cs="Arial"/>
              </w:rPr>
              <w:t>. Solar Stirling Dish</w:t>
            </w:r>
          </w:p>
        </w:tc>
        <w:tc>
          <w:tcPr>
            <w:tcW w:w="2238" w:type="pct"/>
            <w:shd w:val="clear" w:color="auto" w:fill="auto"/>
            <w:vAlign w:val="center"/>
            <w:hideMark/>
          </w:tcPr>
          <w:p w14:paraId="159B29D2" w14:textId="5C096EBC" w:rsidR="00130D6C" w:rsidRPr="005D4912" w:rsidRDefault="00130D6C" w:rsidP="00130D6C">
            <w:pPr>
              <w:spacing w:after="0" w:line="240" w:lineRule="auto"/>
              <w:jc w:val="left"/>
              <w:rPr>
                <w:rFonts w:eastAsia="Times New Roman" w:cs="Arial"/>
              </w:rPr>
            </w:pPr>
            <w:r w:rsidRPr="005D4912">
              <w:rPr>
                <w:rFonts w:eastAsia="Times New Roman" w:cs="Arial"/>
              </w:rPr>
              <w:t>The Dish Stirling engine operates as an externally heated piston-driven prime mover</w:t>
            </w:r>
            <w:r w:rsidR="00680AEE">
              <w:rPr>
                <w:rFonts w:eastAsia="Times New Roman" w:cs="Arial"/>
              </w:rPr>
              <w:t xml:space="preserve">. </w:t>
            </w:r>
            <w:r w:rsidRPr="005D4912">
              <w:rPr>
                <w:rFonts w:eastAsia="Times New Roman" w:cs="Arial"/>
              </w:rPr>
              <w:t>In a solar Stirling dish system, a dish is used to capture and focus sunlight to provide heat for the Stirling engine</w:t>
            </w:r>
            <w:r w:rsidR="00680AEE">
              <w:rPr>
                <w:rFonts w:eastAsia="Times New Roman" w:cs="Arial"/>
              </w:rPr>
              <w:t xml:space="preserve">. </w:t>
            </w:r>
            <w:r w:rsidRPr="005D4912">
              <w:rPr>
                <w:rFonts w:eastAsia="Times New Roman" w:cs="Arial"/>
              </w:rPr>
              <w:t>As with the parabolic trough and other reflector systems, diffuse solar insolation due to clouds and haze in the Southeast greatly reduces the effectiveness and value of solar Stirling dish</w:t>
            </w:r>
            <w:r w:rsidR="00680AEE">
              <w:rPr>
                <w:rFonts w:eastAsia="Times New Roman" w:cs="Arial"/>
              </w:rPr>
              <w:t xml:space="preserve">. </w:t>
            </w:r>
            <w:r w:rsidRPr="005D4912">
              <w:rPr>
                <w:rFonts w:eastAsia="Times New Roman" w:cs="Arial"/>
              </w:rPr>
              <w:t xml:space="preserve">This technology has good environmental characteristics, but applicability is very limited in the Southeastern </w:t>
            </w:r>
            <w:r w:rsidR="007136B4">
              <w:rPr>
                <w:rFonts w:eastAsia="Times New Roman" w:cs="Arial"/>
              </w:rPr>
              <w:t>United States.</w:t>
            </w:r>
          </w:p>
        </w:tc>
        <w:tc>
          <w:tcPr>
            <w:tcW w:w="1325" w:type="pct"/>
            <w:shd w:val="clear" w:color="auto" w:fill="auto"/>
            <w:vAlign w:val="center"/>
            <w:hideMark/>
          </w:tcPr>
          <w:p w14:paraId="7CA01CE6"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w:t>
            </w:r>
            <w:r w:rsidRPr="005D4912">
              <w:rPr>
                <w:rFonts w:eastAsia="Times New Roman" w:cs="Arial"/>
                <w:b/>
                <w:bCs/>
              </w:rPr>
              <w:t xml:space="preserve"> </w:t>
            </w:r>
            <w:r w:rsidRPr="005D4912">
              <w:rPr>
                <w:rFonts w:eastAsia="Times New Roman" w:cs="Arial"/>
                <w:bCs/>
              </w:rPr>
              <w:t>due to cost uncertainties, level of development, and limited applicability in Georgia Power’s and Southern Company’s territory.</w:t>
            </w:r>
          </w:p>
        </w:tc>
      </w:tr>
      <w:tr w:rsidR="00130D6C" w:rsidRPr="005D4912" w14:paraId="43CF810B" w14:textId="77777777" w:rsidTr="00130D6C">
        <w:trPr>
          <w:cantSplit/>
          <w:trHeight w:val="1905"/>
        </w:trPr>
        <w:tc>
          <w:tcPr>
            <w:tcW w:w="1437" w:type="pct"/>
            <w:shd w:val="clear" w:color="auto" w:fill="auto"/>
            <w:vAlign w:val="center"/>
            <w:hideMark/>
          </w:tcPr>
          <w:p w14:paraId="7AAD6D0C" w14:textId="259FB101" w:rsidR="00130D6C" w:rsidRPr="005D4912" w:rsidRDefault="00130D6C" w:rsidP="00130D6C">
            <w:pPr>
              <w:spacing w:after="0" w:line="240" w:lineRule="auto"/>
              <w:jc w:val="left"/>
              <w:rPr>
                <w:rFonts w:eastAsia="Times New Roman" w:cs="Arial"/>
              </w:rPr>
            </w:pPr>
            <w:r w:rsidRPr="005D4912">
              <w:rPr>
                <w:rFonts w:eastAsia="Times New Roman" w:cs="Arial"/>
              </w:rPr>
              <w:t>4</w:t>
            </w:r>
            <w:r>
              <w:rPr>
                <w:rFonts w:eastAsia="Times New Roman" w:cs="Arial"/>
              </w:rPr>
              <w:t>2</w:t>
            </w:r>
            <w:r w:rsidRPr="005D4912">
              <w:rPr>
                <w:rFonts w:eastAsia="Times New Roman" w:cs="Arial"/>
              </w:rPr>
              <w:t>. Solar Central Receiver Technology</w:t>
            </w:r>
          </w:p>
        </w:tc>
        <w:tc>
          <w:tcPr>
            <w:tcW w:w="2238" w:type="pct"/>
            <w:shd w:val="clear" w:color="auto" w:fill="auto"/>
            <w:vAlign w:val="center"/>
            <w:hideMark/>
          </w:tcPr>
          <w:p w14:paraId="6A3D7046" w14:textId="3D591D7F" w:rsidR="00130D6C" w:rsidRPr="005D4912" w:rsidRDefault="00130D6C" w:rsidP="00130D6C">
            <w:pPr>
              <w:spacing w:after="0" w:line="240" w:lineRule="auto"/>
              <w:jc w:val="left"/>
              <w:rPr>
                <w:rFonts w:eastAsia="Times New Roman" w:cs="Arial"/>
              </w:rPr>
            </w:pPr>
            <w:r w:rsidRPr="005D4912">
              <w:rPr>
                <w:rFonts w:eastAsia="Times New Roman" w:cs="Arial"/>
              </w:rPr>
              <w:t>This technology is commonly referred to as a "power tower”, where an array of mirrors is focused on a specific area on a tower that contains a receiver (boiler) where steam is made directly</w:t>
            </w:r>
            <w:r w:rsidR="00680AEE">
              <w:rPr>
                <w:rFonts w:eastAsia="Times New Roman" w:cs="Arial"/>
              </w:rPr>
              <w:t xml:space="preserve">. </w:t>
            </w:r>
            <w:r w:rsidRPr="005D4912">
              <w:rPr>
                <w:rFonts w:eastAsia="Times New Roman" w:cs="Arial"/>
              </w:rPr>
              <w:t>It works most effectively in direct sunlight</w:t>
            </w:r>
            <w:r w:rsidR="00680AEE">
              <w:rPr>
                <w:rFonts w:eastAsia="Times New Roman" w:cs="Arial"/>
              </w:rPr>
              <w:t xml:space="preserve">. </w:t>
            </w:r>
            <w:r w:rsidRPr="005D4912">
              <w:rPr>
                <w:rFonts w:eastAsia="Times New Roman" w:cs="Arial"/>
              </w:rPr>
              <w:t>Diffuse solar insolation due to clouds and haze in the Southeast reduces its value, and the high capital cost and large land area requirements are significant concerns</w:t>
            </w:r>
            <w:r w:rsidR="00680AEE">
              <w:rPr>
                <w:rFonts w:eastAsia="Times New Roman" w:cs="Arial"/>
              </w:rPr>
              <w:t xml:space="preserve">. </w:t>
            </w:r>
            <w:r w:rsidRPr="005D4912">
              <w:rPr>
                <w:rFonts w:eastAsia="Times New Roman" w:cs="Arial"/>
              </w:rPr>
              <w:t xml:space="preserve">This technology has good environmental characteristics. </w:t>
            </w:r>
          </w:p>
        </w:tc>
        <w:tc>
          <w:tcPr>
            <w:tcW w:w="1325" w:type="pct"/>
            <w:shd w:val="clear" w:color="auto" w:fill="auto"/>
            <w:vAlign w:val="center"/>
            <w:hideMark/>
          </w:tcPr>
          <w:p w14:paraId="520924A4"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w:t>
            </w:r>
            <w:r w:rsidRPr="005D4912">
              <w:rPr>
                <w:rFonts w:eastAsia="Times New Roman" w:cs="Arial"/>
                <w:b/>
                <w:bCs/>
              </w:rPr>
              <w:t xml:space="preserve"> </w:t>
            </w:r>
            <w:r w:rsidRPr="005D4912">
              <w:rPr>
                <w:rFonts w:eastAsia="Times New Roman" w:cs="Arial"/>
                <w:bCs/>
              </w:rPr>
              <w:t>due to cost uncertainties, level of development, and limited applicability in Georgia Power’s and Southern Company’s territory.</w:t>
            </w:r>
          </w:p>
        </w:tc>
      </w:tr>
      <w:tr w:rsidR="00130D6C" w:rsidRPr="005D4912" w14:paraId="438ACF35" w14:textId="77777777" w:rsidTr="00130D6C">
        <w:trPr>
          <w:cantSplit/>
          <w:trHeight w:val="1590"/>
        </w:trPr>
        <w:tc>
          <w:tcPr>
            <w:tcW w:w="1437" w:type="pct"/>
            <w:shd w:val="clear" w:color="auto" w:fill="auto"/>
            <w:vAlign w:val="center"/>
            <w:hideMark/>
          </w:tcPr>
          <w:p w14:paraId="0A965831" w14:textId="7A563CDD" w:rsidR="00130D6C" w:rsidRPr="005D4912" w:rsidRDefault="00130D6C" w:rsidP="00130D6C">
            <w:pPr>
              <w:spacing w:after="0" w:line="240" w:lineRule="auto"/>
              <w:jc w:val="left"/>
              <w:rPr>
                <w:rFonts w:eastAsia="Times New Roman" w:cs="Arial"/>
              </w:rPr>
            </w:pPr>
            <w:r w:rsidRPr="005D4912">
              <w:rPr>
                <w:rFonts w:eastAsia="Times New Roman" w:cs="Arial"/>
              </w:rPr>
              <w:t>4</w:t>
            </w:r>
            <w:r>
              <w:rPr>
                <w:rFonts w:eastAsia="Times New Roman" w:cs="Arial"/>
              </w:rPr>
              <w:t>3</w:t>
            </w:r>
            <w:r w:rsidRPr="005D4912">
              <w:rPr>
                <w:rFonts w:eastAsia="Times New Roman" w:cs="Arial"/>
              </w:rPr>
              <w:t>. Compact Linear Fresnel Reflector</w:t>
            </w:r>
          </w:p>
        </w:tc>
        <w:tc>
          <w:tcPr>
            <w:tcW w:w="2238" w:type="pct"/>
            <w:shd w:val="clear" w:color="auto" w:fill="auto"/>
            <w:vAlign w:val="center"/>
            <w:hideMark/>
          </w:tcPr>
          <w:p w14:paraId="44C2176F" w14:textId="4C7A176B" w:rsidR="00130D6C" w:rsidRPr="005D4912" w:rsidRDefault="00130D6C" w:rsidP="00130D6C">
            <w:pPr>
              <w:spacing w:after="0" w:line="240" w:lineRule="auto"/>
              <w:jc w:val="left"/>
              <w:rPr>
                <w:rFonts w:eastAsia="Times New Roman" w:cs="Arial"/>
              </w:rPr>
            </w:pPr>
            <w:r w:rsidRPr="005D4912">
              <w:rPr>
                <w:rFonts w:eastAsia="Times New Roman" w:cs="Arial"/>
              </w:rPr>
              <w:t>Rows of solar collectors reflect solar radiation onto a linear receiver above the solar field in which pressurized water is converted into steam</w:t>
            </w:r>
            <w:r w:rsidR="00680AEE">
              <w:rPr>
                <w:rFonts w:eastAsia="Times New Roman" w:cs="Arial"/>
              </w:rPr>
              <w:t xml:space="preserve">. </w:t>
            </w:r>
            <w:r w:rsidRPr="005D4912">
              <w:rPr>
                <w:rFonts w:eastAsia="Times New Roman" w:cs="Arial"/>
              </w:rPr>
              <w:t>It works most effectively in direct sunlight</w:t>
            </w:r>
            <w:r w:rsidR="00680AEE">
              <w:rPr>
                <w:rFonts w:eastAsia="Times New Roman" w:cs="Arial"/>
              </w:rPr>
              <w:t xml:space="preserve">. </w:t>
            </w:r>
            <w:r w:rsidRPr="005D4912">
              <w:rPr>
                <w:rFonts w:eastAsia="Times New Roman" w:cs="Arial"/>
              </w:rPr>
              <w:t>Diffuse solar insolation due to clouds and haze in the Southeast reduces its value, and the high capital cost and large land area requirements are significant concerns</w:t>
            </w:r>
            <w:r w:rsidR="00680AEE">
              <w:rPr>
                <w:rFonts w:eastAsia="Times New Roman" w:cs="Arial"/>
              </w:rPr>
              <w:t xml:space="preserve">. </w:t>
            </w:r>
            <w:r w:rsidRPr="005D4912">
              <w:rPr>
                <w:rFonts w:eastAsia="Times New Roman" w:cs="Arial"/>
              </w:rPr>
              <w:t>This technology exhibits good environmental characteristics.</w:t>
            </w:r>
          </w:p>
        </w:tc>
        <w:tc>
          <w:tcPr>
            <w:tcW w:w="1325" w:type="pct"/>
            <w:shd w:val="clear" w:color="auto" w:fill="auto"/>
            <w:vAlign w:val="center"/>
            <w:hideMark/>
          </w:tcPr>
          <w:p w14:paraId="6509C9AD"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cost uncertainties, level of development, and limited applicability in Georgia Power’s and Southern Company’s territory.</w:t>
            </w:r>
          </w:p>
        </w:tc>
      </w:tr>
      <w:tr w:rsidR="00130D6C" w:rsidRPr="005D4912" w14:paraId="221FF3CE" w14:textId="77777777" w:rsidTr="00130D6C">
        <w:trPr>
          <w:cantSplit/>
          <w:trHeight w:val="1275"/>
        </w:trPr>
        <w:tc>
          <w:tcPr>
            <w:tcW w:w="1437" w:type="pct"/>
            <w:shd w:val="clear" w:color="auto" w:fill="auto"/>
            <w:vAlign w:val="center"/>
            <w:hideMark/>
          </w:tcPr>
          <w:p w14:paraId="3F3C0A88" w14:textId="5969F1C1" w:rsidR="00130D6C" w:rsidRPr="005D4912" w:rsidRDefault="00130D6C" w:rsidP="00130D6C">
            <w:pPr>
              <w:spacing w:after="0" w:line="240" w:lineRule="auto"/>
              <w:jc w:val="left"/>
              <w:rPr>
                <w:rFonts w:eastAsia="Times New Roman" w:cs="Arial"/>
              </w:rPr>
            </w:pPr>
            <w:r w:rsidRPr="005D4912">
              <w:rPr>
                <w:rFonts w:eastAsia="Times New Roman" w:cs="Arial"/>
              </w:rPr>
              <w:t>4</w:t>
            </w:r>
            <w:r>
              <w:rPr>
                <w:rFonts w:eastAsia="Times New Roman" w:cs="Arial"/>
              </w:rPr>
              <w:t>4</w:t>
            </w:r>
            <w:r w:rsidRPr="005D4912">
              <w:rPr>
                <w:rFonts w:eastAsia="Times New Roman" w:cs="Arial"/>
              </w:rPr>
              <w:t>. Ocean Energy &amp; Hydrokinetic Generation</w:t>
            </w:r>
          </w:p>
        </w:tc>
        <w:tc>
          <w:tcPr>
            <w:tcW w:w="2238" w:type="pct"/>
            <w:shd w:val="clear" w:color="auto" w:fill="auto"/>
            <w:vAlign w:val="center"/>
            <w:hideMark/>
          </w:tcPr>
          <w:p w14:paraId="7D6CDAEB" w14:textId="14FB0CF3" w:rsidR="00130D6C" w:rsidRPr="005D4912" w:rsidRDefault="00130D6C" w:rsidP="00130D6C">
            <w:pPr>
              <w:spacing w:after="0" w:line="240" w:lineRule="auto"/>
              <w:jc w:val="left"/>
              <w:rPr>
                <w:rFonts w:eastAsia="Times New Roman" w:cs="Arial"/>
              </w:rPr>
            </w:pPr>
            <w:r w:rsidRPr="005D4912">
              <w:rPr>
                <w:rFonts w:eastAsia="Times New Roman" w:cs="Arial"/>
              </w:rPr>
              <w:t>Ocean energy and hydrokinetic generation includes power generation from waves, ocean current, tides, and river current</w:t>
            </w:r>
            <w:r w:rsidR="00680AEE">
              <w:rPr>
                <w:rFonts w:eastAsia="Times New Roman" w:cs="Arial"/>
              </w:rPr>
              <w:t xml:space="preserve">. </w:t>
            </w:r>
            <w:r w:rsidRPr="005D4912">
              <w:rPr>
                <w:rFonts w:eastAsia="Times New Roman" w:cs="Arial"/>
              </w:rPr>
              <w:t>Specific research has begun to be conducted in these areas defining the resources and developing technologies that can utilize these resources</w:t>
            </w:r>
            <w:r w:rsidR="00680AEE">
              <w:rPr>
                <w:rFonts w:eastAsia="Times New Roman" w:cs="Arial"/>
              </w:rPr>
              <w:t xml:space="preserve">. </w:t>
            </w:r>
            <w:r w:rsidRPr="005D4912">
              <w:rPr>
                <w:rFonts w:eastAsia="Times New Roman" w:cs="Arial"/>
              </w:rPr>
              <w:t>They have the potential to negatively affect estuarine environments.</w:t>
            </w:r>
          </w:p>
        </w:tc>
        <w:tc>
          <w:tcPr>
            <w:tcW w:w="1325" w:type="pct"/>
            <w:shd w:val="clear" w:color="auto" w:fill="auto"/>
            <w:vAlign w:val="center"/>
            <w:hideMark/>
          </w:tcPr>
          <w:p w14:paraId="54176F91"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w:t>
            </w:r>
            <w:r w:rsidRPr="005D4912">
              <w:rPr>
                <w:rFonts w:eastAsia="Times New Roman" w:cs="Arial"/>
                <w:b/>
                <w:bCs/>
              </w:rPr>
              <w:t xml:space="preserve"> </w:t>
            </w:r>
            <w:r w:rsidRPr="005D4912">
              <w:rPr>
                <w:rFonts w:eastAsia="Times New Roman" w:cs="Arial"/>
                <w:bCs/>
              </w:rPr>
              <w:t>due to cost uncertainties, level of development, and limited applicability in Georgia Power’s and Southern Company’s territory.</w:t>
            </w:r>
          </w:p>
        </w:tc>
      </w:tr>
      <w:tr w:rsidR="00130D6C" w:rsidRPr="005D4912" w14:paraId="241065FB" w14:textId="77777777" w:rsidTr="00130D6C">
        <w:trPr>
          <w:cantSplit/>
          <w:trHeight w:val="1905"/>
        </w:trPr>
        <w:tc>
          <w:tcPr>
            <w:tcW w:w="1437" w:type="pct"/>
            <w:shd w:val="clear" w:color="auto" w:fill="auto"/>
            <w:vAlign w:val="center"/>
            <w:hideMark/>
          </w:tcPr>
          <w:p w14:paraId="3ED8EF6A" w14:textId="506C6289" w:rsidR="00130D6C" w:rsidRPr="005D4912" w:rsidRDefault="00130D6C" w:rsidP="00130D6C">
            <w:pPr>
              <w:spacing w:after="0" w:line="240" w:lineRule="auto"/>
              <w:jc w:val="left"/>
              <w:rPr>
                <w:rFonts w:eastAsia="Times New Roman" w:cs="Arial"/>
              </w:rPr>
            </w:pPr>
            <w:r w:rsidRPr="005D4912">
              <w:rPr>
                <w:rFonts w:eastAsia="Times New Roman" w:cs="Arial"/>
              </w:rPr>
              <w:t>4</w:t>
            </w:r>
            <w:r>
              <w:rPr>
                <w:rFonts w:eastAsia="Times New Roman" w:cs="Arial"/>
              </w:rPr>
              <w:t>5</w:t>
            </w:r>
            <w:r w:rsidRPr="005D4912">
              <w:rPr>
                <w:rFonts w:eastAsia="Times New Roman" w:cs="Arial"/>
              </w:rPr>
              <w:t>. Ocean Thermal Generation</w:t>
            </w:r>
          </w:p>
        </w:tc>
        <w:tc>
          <w:tcPr>
            <w:tcW w:w="2238" w:type="pct"/>
            <w:shd w:val="clear" w:color="auto" w:fill="auto"/>
            <w:vAlign w:val="center"/>
            <w:hideMark/>
          </w:tcPr>
          <w:p w14:paraId="23659D96" w14:textId="234E943F" w:rsidR="00130D6C" w:rsidRPr="005D4912" w:rsidRDefault="00130D6C" w:rsidP="00130D6C">
            <w:pPr>
              <w:spacing w:after="0" w:line="240" w:lineRule="auto"/>
              <w:jc w:val="left"/>
              <w:rPr>
                <w:rFonts w:eastAsia="Times New Roman" w:cs="Arial"/>
              </w:rPr>
            </w:pPr>
            <w:r w:rsidRPr="005D4912">
              <w:rPr>
                <w:rFonts w:eastAsia="Times New Roman" w:cs="Arial"/>
              </w:rPr>
              <w:t>The temperature difference between surface and deep ocean waters can be used to drive an ammonia</w:t>
            </w:r>
            <w:r w:rsidR="00124BCB">
              <w:rPr>
                <w:rFonts w:eastAsia="Times New Roman" w:cs="Arial"/>
              </w:rPr>
              <w:t xml:space="preserve"> (“NH</w:t>
            </w:r>
            <w:r w:rsidR="00124BCB" w:rsidRPr="00124BCB">
              <w:rPr>
                <w:rFonts w:eastAsia="Times New Roman" w:cs="Arial"/>
                <w:vertAlign w:val="subscript"/>
              </w:rPr>
              <w:t>3</w:t>
            </w:r>
            <w:r w:rsidR="00124BCB">
              <w:rPr>
                <w:rFonts w:eastAsia="Times New Roman" w:cs="Arial"/>
              </w:rPr>
              <w:t>”)</w:t>
            </w:r>
            <w:r w:rsidRPr="005D4912">
              <w:rPr>
                <w:rFonts w:eastAsia="Times New Roman" w:cs="Arial"/>
              </w:rPr>
              <w:t xml:space="preserve"> or other low-temperature power cycle to produce power</w:t>
            </w:r>
            <w:r w:rsidR="00680AEE">
              <w:rPr>
                <w:rFonts w:eastAsia="Times New Roman" w:cs="Arial"/>
              </w:rPr>
              <w:t xml:space="preserve">. </w:t>
            </w:r>
            <w:r w:rsidRPr="005D4912">
              <w:rPr>
                <w:rFonts w:eastAsia="Times New Roman" w:cs="Arial"/>
              </w:rPr>
              <w:t>In most situations, tropical locations with deep ocean near shore are sought</w:t>
            </w:r>
            <w:r w:rsidR="00680AEE">
              <w:rPr>
                <w:rFonts w:eastAsia="Times New Roman" w:cs="Arial"/>
              </w:rPr>
              <w:t xml:space="preserve">. </w:t>
            </w:r>
            <w:r w:rsidRPr="005D4912">
              <w:rPr>
                <w:rFonts w:eastAsia="Times New Roman" w:cs="Arial"/>
              </w:rPr>
              <w:t xml:space="preserve">There are environmental concerns with releasing cold bottom water at the ocean surface and with the potential for </w:t>
            </w:r>
            <w:r w:rsidR="00124BCB">
              <w:rPr>
                <w:rFonts w:eastAsia="Times New Roman" w:cs="Arial"/>
              </w:rPr>
              <w:t>NH</w:t>
            </w:r>
            <w:r w:rsidR="00124BCB" w:rsidRPr="00124BCB">
              <w:rPr>
                <w:rFonts w:eastAsia="Times New Roman" w:cs="Arial"/>
                <w:vertAlign w:val="subscript"/>
              </w:rPr>
              <w:t>3</w:t>
            </w:r>
            <w:r w:rsidRPr="005D4912">
              <w:rPr>
                <w:rFonts w:eastAsia="Times New Roman" w:cs="Arial"/>
              </w:rPr>
              <w:t xml:space="preserve"> release.</w:t>
            </w:r>
          </w:p>
        </w:tc>
        <w:tc>
          <w:tcPr>
            <w:tcW w:w="1325" w:type="pct"/>
            <w:shd w:val="clear" w:color="auto" w:fill="auto"/>
            <w:vAlign w:val="center"/>
            <w:hideMark/>
          </w:tcPr>
          <w:p w14:paraId="0C5B426F"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w:t>
            </w:r>
            <w:r w:rsidRPr="005D4912">
              <w:rPr>
                <w:rFonts w:eastAsia="Times New Roman" w:cs="Arial"/>
                <w:b/>
                <w:bCs/>
              </w:rPr>
              <w:t xml:space="preserve"> </w:t>
            </w:r>
            <w:r w:rsidRPr="005D4912">
              <w:rPr>
                <w:rFonts w:eastAsia="Times New Roman" w:cs="Arial"/>
                <w:bCs/>
              </w:rPr>
              <w:t>due to cost uncertainties, level of development, lack of good sites in Georgia Power’s and Southern Company’s territory, and potential environmental considerations.</w:t>
            </w:r>
          </w:p>
        </w:tc>
      </w:tr>
      <w:tr w:rsidR="00130D6C" w:rsidRPr="005D4912" w14:paraId="63D9F548" w14:textId="77777777" w:rsidTr="00130D6C">
        <w:trPr>
          <w:cantSplit/>
          <w:trHeight w:val="2205"/>
        </w:trPr>
        <w:tc>
          <w:tcPr>
            <w:tcW w:w="1437" w:type="pct"/>
            <w:shd w:val="clear" w:color="auto" w:fill="auto"/>
            <w:vAlign w:val="center"/>
            <w:hideMark/>
          </w:tcPr>
          <w:p w14:paraId="242516DE" w14:textId="277E2362" w:rsidR="00130D6C" w:rsidRPr="005D4912" w:rsidRDefault="00130D6C" w:rsidP="00130D6C">
            <w:pPr>
              <w:spacing w:after="0" w:line="240" w:lineRule="auto"/>
              <w:jc w:val="left"/>
              <w:rPr>
                <w:rFonts w:eastAsia="Times New Roman" w:cs="Arial"/>
              </w:rPr>
            </w:pPr>
            <w:r w:rsidRPr="005D4912">
              <w:rPr>
                <w:rFonts w:eastAsia="Times New Roman" w:cs="Arial"/>
              </w:rPr>
              <w:t>4</w:t>
            </w:r>
            <w:r>
              <w:rPr>
                <w:rFonts w:eastAsia="Times New Roman" w:cs="Arial"/>
              </w:rPr>
              <w:t>6</w:t>
            </w:r>
            <w:r w:rsidRPr="005D4912">
              <w:rPr>
                <w:rFonts w:eastAsia="Times New Roman" w:cs="Arial"/>
              </w:rPr>
              <w:t xml:space="preserve">. Direct-fired Supercritical </w:t>
            </w:r>
            <w:r w:rsidR="005A4027" w:rsidRPr="005D4912">
              <w:rPr>
                <w:rFonts w:eastAsia="Times New Roman" w:cs="Arial"/>
              </w:rPr>
              <w:t>CO</w:t>
            </w:r>
            <w:r w:rsidR="005A4027" w:rsidRPr="00EA7B10">
              <w:rPr>
                <w:rFonts w:eastAsia="Times New Roman" w:cs="Arial"/>
                <w:vertAlign w:val="subscript"/>
              </w:rPr>
              <w:t>2</w:t>
            </w:r>
            <w:r w:rsidR="005A4027" w:rsidRPr="005D4912">
              <w:rPr>
                <w:rFonts w:eastAsia="Times New Roman" w:cs="Arial"/>
              </w:rPr>
              <w:t xml:space="preserve"> </w:t>
            </w:r>
            <w:r w:rsidRPr="005D4912">
              <w:rPr>
                <w:rFonts w:eastAsia="Times New Roman" w:cs="Arial"/>
              </w:rPr>
              <w:t>cycle</w:t>
            </w:r>
          </w:p>
        </w:tc>
        <w:tc>
          <w:tcPr>
            <w:tcW w:w="2238" w:type="pct"/>
            <w:shd w:val="clear" w:color="auto" w:fill="auto"/>
            <w:vAlign w:val="center"/>
            <w:hideMark/>
          </w:tcPr>
          <w:p w14:paraId="3DEAFD78" w14:textId="2D202A7D" w:rsidR="00130D6C" w:rsidRPr="005D4912" w:rsidRDefault="00130D6C" w:rsidP="00130D6C">
            <w:pPr>
              <w:spacing w:after="0" w:line="240" w:lineRule="auto"/>
              <w:jc w:val="left"/>
              <w:rPr>
                <w:rFonts w:eastAsia="Times New Roman" w:cs="Arial"/>
              </w:rPr>
            </w:pPr>
            <w:r w:rsidRPr="005D4912">
              <w:rPr>
                <w:rFonts w:eastAsia="Times New Roman" w:cs="Arial"/>
              </w:rPr>
              <w:t>Carbon dioxide used in a closed-loop direct-fired Brayton power cycle has particular advantages due to the nature of the fluid properties in a supercritical state</w:t>
            </w:r>
            <w:r w:rsidR="00680AEE">
              <w:rPr>
                <w:rFonts w:eastAsia="Times New Roman" w:cs="Arial"/>
              </w:rPr>
              <w:t xml:space="preserve">. </w:t>
            </w:r>
            <w:r w:rsidRPr="005D4912">
              <w:rPr>
                <w:rFonts w:eastAsia="Times New Roman" w:cs="Arial"/>
              </w:rPr>
              <w:t>Also named the "Allam Cycle", this technology uses recuperation to increase efficiency, but can also use higher temperature operation as would any thermodynamic cycle</w:t>
            </w:r>
            <w:r w:rsidR="00680AEE">
              <w:rPr>
                <w:rFonts w:eastAsia="Times New Roman" w:cs="Arial"/>
              </w:rPr>
              <w:t xml:space="preserve">. </w:t>
            </w:r>
            <w:r w:rsidRPr="005D4912">
              <w:rPr>
                <w:rFonts w:eastAsia="Times New Roman" w:cs="Arial"/>
              </w:rPr>
              <w:t xml:space="preserve">The technology is fired with gaseous fuel, and due to the nature of the cycle, creates pipeline-ready </w:t>
            </w:r>
            <w:r w:rsidR="005A4027" w:rsidRPr="005D4912">
              <w:rPr>
                <w:rFonts w:eastAsia="Times New Roman" w:cs="Arial"/>
              </w:rPr>
              <w:t>CO</w:t>
            </w:r>
            <w:r w:rsidR="005A4027" w:rsidRPr="00EA7B10">
              <w:rPr>
                <w:rFonts w:eastAsia="Times New Roman" w:cs="Arial"/>
                <w:vertAlign w:val="subscript"/>
              </w:rPr>
              <w:t>2</w:t>
            </w:r>
            <w:r w:rsidRPr="005D4912">
              <w:rPr>
                <w:rFonts w:eastAsia="Times New Roman" w:cs="Arial"/>
              </w:rPr>
              <w:t xml:space="preserve"> for a zero- or near-zero emissions plant</w:t>
            </w:r>
            <w:r w:rsidR="00680AEE">
              <w:rPr>
                <w:rFonts w:eastAsia="Times New Roman" w:cs="Arial"/>
              </w:rPr>
              <w:t xml:space="preserve">. </w:t>
            </w:r>
            <w:r w:rsidRPr="005D4912">
              <w:rPr>
                <w:rFonts w:eastAsia="Times New Roman" w:cs="Arial"/>
              </w:rPr>
              <w:t>Material and mechanical design present current challenges</w:t>
            </w:r>
            <w:r w:rsidR="00680AEE">
              <w:rPr>
                <w:rFonts w:eastAsia="Times New Roman" w:cs="Arial"/>
              </w:rPr>
              <w:t xml:space="preserve">. </w:t>
            </w:r>
            <w:r w:rsidRPr="005D4912">
              <w:rPr>
                <w:rFonts w:eastAsia="Times New Roman" w:cs="Arial"/>
              </w:rPr>
              <w:t>There is ongoing industry development work.</w:t>
            </w:r>
          </w:p>
        </w:tc>
        <w:tc>
          <w:tcPr>
            <w:tcW w:w="1325" w:type="pct"/>
            <w:shd w:val="clear" w:color="auto" w:fill="auto"/>
            <w:vAlign w:val="center"/>
            <w:hideMark/>
          </w:tcPr>
          <w:p w14:paraId="7B0AAE9F" w14:textId="77777777" w:rsidR="00130D6C" w:rsidRPr="005D4912" w:rsidRDefault="00130D6C" w:rsidP="00130D6C">
            <w:pPr>
              <w:spacing w:after="0" w:line="240" w:lineRule="auto"/>
              <w:jc w:val="left"/>
              <w:rPr>
                <w:rFonts w:eastAsia="Times New Roman" w:cs="Arial"/>
                <w:b/>
                <w:bCs/>
              </w:rPr>
            </w:pPr>
            <w:r w:rsidRPr="005D4912">
              <w:rPr>
                <w:rFonts w:eastAsia="Times New Roman" w:cs="Arial"/>
                <w:b/>
                <w:bCs/>
              </w:rPr>
              <w:t xml:space="preserve">NOT RETAINED </w:t>
            </w:r>
            <w:r w:rsidRPr="005D4912">
              <w:rPr>
                <w:rFonts w:eastAsia="Times New Roman" w:cs="Arial"/>
                <w:bCs/>
              </w:rPr>
              <w:t>for further screening at this time due to current level of development.</w:t>
            </w:r>
          </w:p>
        </w:tc>
      </w:tr>
    </w:tbl>
    <w:p w14:paraId="13C370DC" w14:textId="77777777" w:rsidR="00130D6C" w:rsidRPr="005D4912" w:rsidRDefault="00130D6C" w:rsidP="00130D6C">
      <w:pPr>
        <w:rPr>
          <w:rFonts w:eastAsia="Times New Roman" w:cs="Arial"/>
          <w:b/>
        </w:rPr>
      </w:pPr>
      <w:r w:rsidRPr="005D4912">
        <w:rPr>
          <w:rFonts w:eastAsia="Times New Roman" w:cs="Arial"/>
          <w:b/>
        </w:rPr>
        <w:br w:type="page"/>
      </w:r>
    </w:p>
    <w:p w14:paraId="6C94890B" w14:textId="3047DC54" w:rsidR="00130D6C" w:rsidRDefault="004E5D62" w:rsidP="005145F2">
      <w:pPr>
        <w:rPr>
          <w:lang w:bidi="en-US"/>
        </w:rPr>
      </w:pPr>
      <w:r>
        <w:rPr>
          <w:lang w:bidi="en-US"/>
        </w:rPr>
        <w:fldChar w:fldCharType="begin"/>
      </w:r>
      <w:r>
        <w:rPr>
          <w:lang w:bidi="en-US"/>
        </w:rPr>
        <w:instrText xml:space="preserve"> REF _Ref532999679 \h </w:instrText>
      </w:r>
      <w:r>
        <w:rPr>
          <w:lang w:bidi="en-US"/>
        </w:rPr>
      </w:r>
      <w:r>
        <w:rPr>
          <w:lang w:bidi="en-US"/>
        </w:rPr>
        <w:fldChar w:fldCharType="separate"/>
      </w:r>
      <w:r w:rsidR="00F33DA2">
        <w:t>Table B-</w:t>
      </w:r>
      <w:r w:rsidR="00F33DA2">
        <w:rPr>
          <w:noProof/>
        </w:rPr>
        <w:t>3</w:t>
      </w:r>
      <w:r>
        <w:rPr>
          <w:lang w:bidi="en-US"/>
        </w:rPr>
        <w:fldChar w:fldCharType="end"/>
      </w:r>
      <w:r>
        <w:rPr>
          <w:lang w:bidi="en-US"/>
        </w:rPr>
        <w:t xml:space="preserve"> </w:t>
      </w:r>
      <w:r w:rsidR="00266FFB">
        <w:rPr>
          <w:lang w:bidi="en-US"/>
        </w:rPr>
        <w:t>list</w:t>
      </w:r>
      <w:r w:rsidR="005517AF">
        <w:rPr>
          <w:lang w:bidi="en-US"/>
        </w:rPr>
        <w:t xml:space="preserve">s the </w:t>
      </w:r>
      <w:r>
        <w:rPr>
          <w:lang w:bidi="en-US"/>
        </w:rPr>
        <w:t>t</w:t>
      </w:r>
      <w:r w:rsidR="00130D6C">
        <w:rPr>
          <w:lang w:bidi="en-US"/>
        </w:rPr>
        <w:t xml:space="preserve">echnologies that </w:t>
      </w:r>
      <w:r w:rsidR="00266FFB">
        <w:rPr>
          <w:lang w:bidi="en-US"/>
        </w:rPr>
        <w:t xml:space="preserve">were </w:t>
      </w:r>
      <w:r>
        <w:rPr>
          <w:rFonts w:eastAsia="Times New Roman" w:cs="Arial"/>
          <w:lang w:bidi="en-US"/>
        </w:rPr>
        <w:t>retained from the preliminary screening and used as inputs for the secondary screening</w:t>
      </w:r>
      <w:r w:rsidR="00130D6C">
        <w:rPr>
          <w:lang w:bidi="en-US"/>
        </w:rPr>
        <w:t>.</w:t>
      </w:r>
    </w:p>
    <w:p w14:paraId="12A7BDA0" w14:textId="6C63A2EB" w:rsidR="00471F21" w:rsidRDefault="00471F21" w:rsidP="00471F21">
      <w:pPr>
        <w:pStyle w:val="Caption"/>
        <w:keepNext/>
        <w:jc w:val="center"/>
      </w:pPr>
      <w:bookmarkStart w:id="259" w:name="_Ref532999679"/>
      <w:r>
        <w:t xml:space="preserve">Table </w:t>
      </w:r>
      <w:r w:rsidR="00FB3B8F">
        <w:t>B-</w:t>
      </w:r>
      <w:r w:rsidR="00FA0526">
        <w:rPr>
          <w:noProof/>
        </w:rPr>
        <w:fldChar w:fldCharType="begin"/>
      </w:r>
      <w:r w:rsidR="00FA0526">
        <w:rPr>
          <w:noProof/>
        </w:rPr>
        <w:instrText xml:space="preserve"> SEQ Table \* ARABIC </w:instrText>
      </w:r>
      <w:r w:rsidR="00FA0526">
        <w:rPr>
          <w:noProof/>
        </w:rPr>
        <w:fldChar w:fldCharType="separate"/>
      </w:r>
      <w:r w:rsidR="00F33DA2">
        <w:rPr>
          <w:noProof/>
        </w:rPr>
        <w:t>3</w:t>
      </w:r>
      <w:r w:rsidR="00FA0526">
        <w:rPr>
          <w:noProof/>
        </w:rPr>
        <w:fldChar w:fldCharType="end"/>
      </w:r>
      <w:bookmarkEnd w:id="259"/>
      <w:r w:rsidR="00FB3B8F">
        <w:t>:</w:t>
      </w:r>
      <w:r w:rsidRPr="0033799A">
        <w:t xml:space="preserve"> </w:t>
      </w:r>
      <w:r w:rsidR="004E5D62">
        <w:t>Secondary</w:t>
      </w:r>
      <w:r w:rsidRPr="0033799A">
        <w:t xml:space="preserve"> Screening Technologies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4461"/>
        <w:gridCol w:w="4176"/>
      </w:tblGrid>
      <w:tr w:rsidR="00130D6C" w:rsidRPr="005D4912" w14:paraId="5C2CD67D" w14:textId="77777777" w:rsidTr="002B10B9">
        <w:trPr>
          <w:trHeight w:val="288"/>
          <w:jc w:val="center"/>
        </w:trPr>
        <w:tc>
          <w:tcPr>
            <w:tcW w:w="4461" w:type="dxa"/>
          </w:tcPr>
          <w:p w14:paraId="3AC14CDE" w14:textId="0636A48C" w:rsidR="00130D6C" w:rsidRPr="005D4912" w:rsidRDefault="00130D6C" w:rsidP="0040637D">
            <w:pPr>
              <w:spacing w:after="0" w:line="240" w:lineRule="auto"/>
              <w:jc w:val="left"/>
              <w:rPr>
                <w:rFonts w:eastAsia="Times New Roman" w:cs="Arial"/>
                <w:b/>
                <w:u w:val="single"/>
                <w:lang w:bidi="en-US"/>
              </w:rPr>
            </w:pPr>
            <w:r w:rsidRPr="005D4912">
              <w:rPr>
                <w:rFonts w:eastAsia="Times New Roman" w:cs="Arial"/>
                <w:b/>
                <w:u w:val="single"/>
                <w:lang w:bidi="en-US"/>
              </w:rPr>
              <w:t>GAS-FUELED</w:t>
            </w:r>
          </w:p>
        </w:tc>
        <w:tc>
          <w:tcPr>
            <w:tcW w:w="4176" w:type="dxa"/>
          </w:tcPr>
          <w:p w14:paraId="24AEACED" w14:textId="77777777" w:rsidR="00130D6C" w:rsidRPr="005D4912" w:rsidRDefault="00130D6C" w:rsidP="0040637D">
            <w:pPr>
              <w:spacing w:after="0" w:line="240" w:lineRule="auto"/>
              <w:jc w:val="left"/>
              <w:rPr>
                <w:rFonts w:eastAsia="Times New Roman" w:cs="Arial"/>
                <w:b/>
                <w:u w:val="single"/>
                <w:lang w:bidi="en-US"/>
              </w:rPr>
            </w:pPr>
            <w:r w:rsidRPr="005D4912">
              <w:rPr>
                <w:rFonts w:eastAsia="Times New Roman" w:cs="Arial"/>
                <w:b/>
                <w:u w:val="single"/>
                <w:lang w:bidi="en-US"/>
              </w:rPr>
              <w:t>NUCLEAR</w:t>
            </w:r>
          </w:p>
        </w:tc>
      </w:tr>
      <w:tr w:rsidR="00130D6C" w:rsidRPr="005D4912" w14:paraId="766A93F5" w14:textId="77777777" w:rsidTr="002B10B9">
        <w:trPr>
          <w:trHeight w:val="288"/>
          <w:jc w:val="center"/>
        </w:trPr>
        <w:tc>
          <w:tcPr>
            <w:tcW w:w="4461" w:type="dxa"/>
          </w:tcPr>
          <w:p w14:paraId="3F2D63CF" w14:textId="795330A6" w:rsidR="00130D6C" w:rsidRPr="005D4912" w:rsidRDefault="00130D6C" w:rsidP="0040637D">
            <w:pPr>
              <w:spacing w:after="0" w:line="240" w:lineRule="auto"/>
              <w:jc w:val="left"/>
              <w:rPr>
                <w:rFonts w:eastAsia="Times New Roman" w:cs="Arial"/>
                <w:lang w:bidi="en-US"/>
              </w:rPr>
            </w:pPr>
            <w:r w:rsidRPr="005D4912">
              <w:rPr>
                <w:rFonts w:eastAsia="Times New Roman" w:cs="Arial"/>
                <w:lang w:bidi="en-US"/>
              </w:rPr>
              <w:t xml:space="preserve">CT Conventional/Advanced </w:t>
            </w:r>
          </w:p>
        </w:tc>
        <w:tc>
          <w:tcPr>
            <w:tcW w:w="4176" w:type="dxa"/>
          </w:tcPr>
          <w:p w14:paraId="4B5AD357" w14:textId="4BCEEC85" w:rsidR="00130D6C" w:rsidRPr="005D4912" w:rsidRDefault="00130D6C" w:rsidP="0040637D">
            <w:pPr>
              <w:spacing w:after="0" w:line="240" w:lineRule="auto"/>
              <w:jc w:val="left"/>
              <w:rPr>
                <w:rFonts w:eastAsia="Times New Roman" w:cs="Arial"/>
                <w:lang w:bidi="en-US"/>
              </w:rPr>
            </w:pPr>
            <w:r w:rsidRPr="005D4912">
              <w:rPr>
                <w:rFonts w:eastAsia="Times New Roman" w:cs="Arial"/>
                <w:lang w:bidi="en-US"/>
              </w:rPr>
              <w:t xml:space="preserve">Advanced LWR </w:t>
            </w:r>
            <w:r w:rsidR="00266FFB">
              <w:rPr>
                <w:rFonts w:eastAsia="Times New Roman" w:cs="Arial"/>
                <w:lang w:bidi="en-US"/>
              </w:rPr>
              <w:t>–</w:t>
            </w:r>
            <w:r w:rsidRPr="005D4912">
              <w:rPr>
                <w:rFonts w:eastAsia="Times New Roman" w:cs="Arial"/>
                <w:lang w:bidi="en-US"/>
              </w:rPr>
              <w:t xml:space="preserve"> Evolutionary</w:t>
            </w:r>
          </w:p>
        </w:tc>
      </w:tr>
      <w:tr w:rsidR="00130D6C" w:rsidRPr="005D4912" w14:paraId="793FA985" w14:textId="77777777" w:rsidTr="002B10B9">
        <w:trPr>
          <w:trHeight w:val="288"/>
          <w:jc w:val="center"/>
        </w:trPr>
        <w:tc>
          <w:tcPr>
            <w:tcW w:w="4461" w:type="dxa"/>
          </w:tcPr>
          <w:p w14:paraId="71BB18A9" w14:textId="077E4D70" w:rsidR="00130D6C" w:rsidRPr="005D4912" w:rsidRDefault="00130D6C" w:rsidP="0040637D">
            <w:pPr>
              <w:spacing w:after="0" w:line="240" w:lineRule="auto"/>
              <w:jc w:val="left"/>
              <w:rPr>
                <w:rFonts w:eastAsia="Times New Roman" w:cs="Arial"/>
                <w:lang w:bidi="en-US"/>
              </w:rPr>
            </w:pPr>
            <w:r w:rsidRPr="005D4912">
              <w:rPr>
                <w:rFonts w:eastAsia="Times New Roman" w:cs="Arial"/>
                <w:lang w:bidi="en-US"/>
              </w:rPr>
              <w:t>CC Conventional/ Advanced</w:t>
            </w:r>
          </w:p>
        </w:tc>
        <w:tc>
          <w:tcPr>
            <w:tcW w:w="4176" w:type="dxa"/>
          </w:tcPr>
          <w:p w14:paraId="31ADF292" w14:textId="436EA542" w:rsidR="00130D6C" w:rsidRPr="005D4912" w:rsidRDefault="00130D6C" w:rsidP="0040637D">
            <w:pPr>
              <w:spacing w:after="0" w:line="240" w:lineRule="auto"/>
              <w:jc w:val="left"/>
              <w:rPr>
                <w:rFonts w:eastAsia="Times New Roman" w:cs="Arial"/>
                <w:lang w:bidi="en-US"/>
              </w:rPr>
            </w:pPr>
            <w:r w:rsidRPr="005D4912">
              <w:rPr>
                <w:rFonts w:eastAsia="Times New Roman" w:cs="Arial"/>
                <w:lang w:bidi="en-US"/>
              </w:rPr>
              <w:t xml:space="preserve">Advanced LWR </w:t>
            </w:r>
            <w:r w:rsidR="00266FFB">
              <w:rPr>
                <w:rFonts w:eastAsia="Times New Roman" w:cs="Arial"/>
                <w:lang w:bidi="en-US"/>
              </w:rPr>
              <w:t>–</w:t>
            </w:r>
            <w:r w:rsidRPr="005D4912">
              <w:rPr>
                <w:rFonts w:eastAsia="Times New Roman" w:cs="Arial"/>
                <w:lang w:bidi="en-US"/>
              </w:rPr>
              <w:t xml:space="preserve"> Passive</w:t>
            </w:r>
          </w:p>
        </w:tc>
      </w:tr>
      <w:tr w:rsidR="00130D6C" w:rsidRPr="005D4912" w14:paraId="2B29A891" w14:textId="77777777" w:rsidTr="002B10B9">
        <w:trPr>
          <w:trHeight w:val="288"/>
          <w:jc w:val="center"/>
        </w:trPr>
        <w:tc>
          <w:tcPr>
            <w:tcW w:w="4461" w:type="dxa"/>
          </w:tcPr>
          <w:p w14:paraId="1A575565" w14:textId="136D825B" w:rsidR="00130D6C" w:rsidRPr="005D4912" w:rsidRDefault="00130D6C" w:rsidP="0040637D">
            <w:pPr>
              <w:spacing w:after="0" w:line="240" w:lineRule="auto"/>
              <w:jc w:val="left"/>
              <w:rPr>
                <w:rFonts w:eastAsia="Times New Roman" w:cs="Arial"/>
                <w:lang w:bidi="en-US"/>
              </w:rPr>
            </w:pPr>
            <w:r w:rsidRPr="005D4912">
              <w:rPr>
                <w:rFonts w:eastAsia="Times New Roman" w:cs="Arial"/>
                <w:lang w:bidi="en-US"/>
              </w:rPr>
              <w:t>Phosphoric Acid Fuel Cell</w:t>
            </w:r>
          </w:p>
        </w:tc>
        <w:tc>
          <w:tcPr>
            <w:tcW w:w="4176" w:type="dxa"/>
          </w:tcPr>
          <w:p w14:paraId="2373C3C2" w14:textId="77777777" w:rsidR="00130D6C" w:rsidRPr="005D4912" w:rsidRDefault="00130D6C" w:rsidP="0040637D">
            <w:pPr>
              <w:spacing w:after="0" w:line="240" w:lineRule="auto"/>
              <w:jc w:val="left"/>
              <w:rPr>
                <w:rFonts w:eastAsia="Times New Roman" w:cs="Arial"/>
                <w:lang w:bidi="en-US"/>
              </w:rPr>
            </w:pPr>
            <w:r w:rsidRPr="005D4912">
              <w:rPr>
                <w:rFonts w:eastAsia="Times New Roman" w:cs="Arial"/>
                <w:lang w:bidi="en-US"/>
              </w:rPr>
              <w:t>Small Modular Reactor</w:t>
            </w:r>
          </w:p>
        </w:tc>
      </w:tr>
      <w:tr w:rsidR="00130D6C" w:rsidRPr="005D4912" w14:paraId="7CEC7BCB" w14:textId="77777777" w:rsidTr="002B10B9">
        <w:trPr>
          <w:trHeight w:val="288"/>
          <w:jc w:val="center"/>
        </w:trPr>
        <w:tc>
          <w:tcPr>
            <w:tcW w:w="4461" w:type="dxa"/>
          </w:tcPr>
          <w:p w14:paraId="78349A44" w14:textId="7304599B" w:rsidR="00130D6C" w:rsidRPr="005D4912" w:rsidRDefault="00130D6C" w:rsidP="0040637D">
            <w:pPr>
              <w:spacing w:after="0" w:line="240" w:lineRule="auto"/>
              <w:jc w:val="left"/>
              <w:rPr>
                <w:rFonts w:eastAsia="Times New Roman" w:cs="Arial"/>
                <w:lang w:bidi="en-US"/>
              </w:rPr>
            </w:pPr>
            <w:r w:rsidRPr="005D4912">
              <w:rPr>
                <w:rFonts w:eastAsia="Times New Roman" w:cs="Arial"/>
                <w:lang w:bidi="en-US"/>
              </w:rPr>
              <w:t>MCFC &amp; SOFC</w:t>
            </w:r>
          </w:p>
        </w:tc>
        <w:tc>
          <w:tcPr>
            <w:tcW w:w="4176" w:type="dxa"/>
          </w:tcPr>
          <w:p w14:paraId="150F0982" w14:textId="77777777" w:rsidR="00130D6C" w:rsidRPr="005D4912" w:rsidRDefault="00130D6C" w:rsidP="0040637D">
            <w:pPr>
              <w:spacing w:after="0" w:line="240" w:lineRule="auto"/>
              <w:jc w:val="left"/>
              <w:rPr>
                <w:rFonts w:eastAsia="Times New Roman" w:cs="Arial"/>
                <w:lang w:bidi="en-US"/>
              </w:rPr>
            </w:pPr>
          </w:p>
        </w:tc>
      </w:tr>
      <w:tr w:rsidR="00130D6C" w:rsidRPr="005D4912" w14:paraId="32C3B3C2" w14:textId="77777777" w:rsidTr="002B10B9">
        <w:trPr>
          <w:trHeight w:val="288"/>
          <w:jc w:val="center"/>
        </w:trPr>
        <w:tc>
          <w:tcPr>
            <w:tcW w:w="4461" w:type="dxa"/>
          </w:tcPr>
          <w:p w14:paraId="17560419" w14:textId="08EE7930" w:rsidR="00130D6C" w:rsidRPr="005D4912" w:rsidRDefault="00130D6C" w:rsidP="0040637D">
            <w:pPr>
              <w:spacing w:after="0" w:line="240" w:lineRule="auto"/>
              <w:jc w:val="left"/>
              <w:rPr>
                <w:rFonts w:eastAsia="Times New Roman" w:cs="Arial"/>
                <w:lang w:bidi="en-US"/>
              </w:rPr>
            </w:pPr>
            <w:r w:rsidRPr="005D4912">
              <w:rPr>
                <w:rFonts w:eastAsia="Times New Roman" w:cs="Arial"/>
                <w:lang w:bidi="en-US"/>
              </w:rPr>
              <w:t>Reciprocating Engines</w:t>
            </w:r>
          </w:p>
        </w:tc>
        <w:tc>
          <w:tcPr>
            <w:tcW w:w="4176" w:type="dxa"/>
          </w:tcPr>
          <w:p w14:paraId="59E7F58B" w14:textId="77777777" w:rsidR="00130D6C" w:rsidRPr="005D4912" w:rsidRDefault="00130D6C" w:rsidP="0040637D">
            <w:pPr>
              <w:spacing w:after="0" w:line="240" w:lineRule="auto"/>
              <w:jc w:val="left"/>
              <w:rPr>
                <w:rFonts w:eastAsia="Times New Roman" w:cs="Arial"/>
                <w:u w:val="single"/>
                <w:lang w:bidi="en-US"/>
              </w:rPr>
            </w:pPr>
            <w:r w:rsidRPr="005D4912">
              <w:rPr>
                <w:rFonts w:eastAsia="Times New Roman" w:cs="Arial"/>
                <w:b/>
                <w:u w:val="single"/>
                <w:lang w:bidi="en-US"/>
              </w:rPr>
              <w:t>RENEWABLES</w:t>
            </w:r>
          </w:p>
        </w:tc>
      </w:tr>
      <w:tr w:rsidR="00266FFB" w:rsidRPr="005D4912" w14:paraId="0373543F" w14:textId="77777777" w:rsidTr="002B10B9">
        <w:trPr>
          <w:trHeight w:val="288"/>
          <w:jc w:val="center"/>
        </w:trPr>
        <w:tc>
          <w:tcPr>
            <w:tcW w:w="4461" w:type="dxa"/>
          </w:tcPr>
          <w:p w14:paraId="18D3E049" w14:textId="77777777"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Microturbines</w:t>
            </w:r>
          </w:p>
        </w:tc>
        <w:tc>
          <w:tcPr>
            <w:tcW w:w="4176" w:type="dxa"/>
          </w:tcPr>
          <w:p w14:paraId="13501CF3" w14:textId="280D623F"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Solar PV</w:t>
            </w:r>
          </w:p>
        </w:tc>
      </w:tr>
      <w:tr w:rsidR="00266FFB" w:rsidRPr="005D4912" w14:paraId="1CDB50D6" w14:textId="77777777" w:rsidTr="002B10B9">
        <w:trPr>
          <w:trHeight w:val="288"/>
          <w:jc w:val="center"/>
        </w:trPr>
        <w:tc>
          <w:tcPr>
            <w:tcW w:w="4461" w:type="dxa"/>
          </w:tcPr>
          <w:p w14:paraId="7A73B0AD" w14:textId="3FABCCE0" w:rsidR="00266FFB" w:rsidRPr="005D4912" w:rsidRDefault="00266FFB" w:rsidP="00266FFB">
            <w:pPr>
              <w:spacing w:after="0" w:line="240" w:lineRule="auto"/>
              <w:jc w:val="left"/>
              <w:rPr>
                <w:rFonts w:eastAsia="Times New Roman" w:cs="Arial"/>
                <w:b/>
                <w:u w:val="single"/>
                <w:lang w:bidi="en-US"/>
              </w:rPr>
            </w:pPr>
          </w:p>
        </w:tc>
        <w:tc>
          <w:tcPr>
            <w:tcW w:w="4176" w:type="dxa"/>
          </w:tcPr>
          <w:p w14:paraId="434DDB1A" w14:textId="334A630B"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Wind Power</w:t>
            </w:r>
          </w:p>
        </w:tc>
      </w:tr>
      <w:tr w:rsidR="00266FFB" w:rsidRPr="005D4912" w14:paraId="1DEC71EC" w14:textId="77777777" w:rsidTr="002B10B9">
        <w:trPr>
          <w:trHeight w:val="288"/>
          <w:jc w:val="center"/>
        </w:trPr>
        <w:tc>
          <w:tcPr>
            <w:tcW w:w="4461" w:type="dxa"/>
          </w:tcPr>
          <w:p w14:paraId="24B8D3CC" w14:textId="3CDF8E2F" w:rsidR="00266FFB" w:rsidRPr="005D4912" w:rsidRDefault="00266FFB" w:rsidP="00266FFB">
            <w:pPr>
              <w:spacing w:after="0" w:line="240" w:lineRule="auto"/>
              <w:jc w:val="left"/>
              <w:rPr>
                <w:rFonts w:eastAsia="Times New Roman" w:cs="Arial"/>
                <w:lang w:bidi="en-US"/>
              </w:rPr>
            </w:pPr>
            <w:r w:rsidRPr="005D4912">
              <w:rPr>
                <w:rFonts w:eastAsia="Times New Roman" w:cs="Arial"/>
                <w:b/>
                <w:u w:val="single"/>
                <w:lang w:bidi="en-US"/>
              </w:rPr>
              <w:t>ENERGY STORAGE</w:t>
            </w:r>
          </w:p>
        </w:tc>
        <w:tc>
          <w:tcPr>
            <w:tcW w:w="4176" w:type="dxa"/>
          </w:tcPr>
          <w:p w14:paraId="61A1F979" w14:textId="24B856AF"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Tall Tower Large Rotor Wind Power</w:t>
            </w:r>
          </w:p>
        </w:tc>
      </w:tr>
      <w:tr w:rsidR="00266FFB" w:rsidRPr="005D4912" w14:paraId="5D8782A0" w14:textId="77777777" w:rsidTr="002B10B9">
        <w:trPr>
          <w:trHeight w:val="288"/>
          <w:jc w:val="center"/>
        </w:trPr>
        <w:tc>
          <w:tcPr>
            <w:tcW w:w="4461" w:type="dxa"/>
          </w:tcPr>
          <w:p w14:paraId="12DB31D8" w14:textId="1EC0ADF0" w:rsidR="00266FFB" w:rsidRPr="005D4912" w:rsidRDefault="00266FFB" w:rsidP="00266FFB">
            <w:pPr>
              <w:spacing w:after="0" w:line="240" w:lineRule="auto"/>
              <w:jc w:val="left"/>
              <w:rPr>
                <w:rFonts w:eastAsia="Times New Roman" w:cs="Arial"/>
                <w:lang w:bidi="en-US"/>
              </w:rPr>
            </w:pPr>
            <w:r>
              <w:rPr>
                <w:rFonts w:eastAsia="Times New Roman" w:cs="Arial"/>
                <w:lang w:bidi="en-US"/>
              </w:rPr>
              <w:t>Pumped Storage Hydro</w:t>
            </w:r>
          </w:p>
        </w:tc>
        <w:tc>
          <w:tcPr>
            <w:tcW w:w="4176" w:type="dxa"/>
          </w:tcPr>
          <w:p w14:paraId="7E13ED67" w14:textId="5604BE9C"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Offshore Wind Power</w:t>
            </w:r>
          </w:p>
        </w:tc>
      </w:tr>
      <w:tr w:rsidR="00266FFB" w:rsidRPr="005D4912" w14:paraId="02097861" w14:textId="77777777" w:rsidTr="002B10B9">
        <w:trPr>
          <w:trHeight w:val="288"/>
          <w:jc w:val="center"/>
        </w:trPr>
        <w:tc>
          <w:tcPr>
            <w:tcW w:w="4461" w:type="dxa"/>
          </w:tcPr>
          <w:p w14:paraId="32AB17DB" w14:textId="4EEE5A57"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Compressed Air Energy Storage</w:t>
            </w:r>
            <w:r>
              <w:rPr>
                <w:rFonts w:eastAsia="Times New Roman" w:cs="Arial"/>
                <w:lang w:bidi="en-US"/>
              </w:rPr>
              <w:t xml:space="preserve"> – </w:t>
            </w:r>
            <w:r w:rsidRPr="005D4912">
              <w:rPr>
                <w:rFonts w:eastAsia="Times New Roman" w:cs="Arial"/>
                <w:lang w:bidi="en-US"/>
              </w:rPr>
              <w:t>Gen I</w:t>
            </w:r>
          </w:p>
        </w:tc>
        <w:tc>
          <w:tcPr>
            <w:tcW w:w="4176" w:type="dxa"/>
          </w:tcPr>
          <w:p w14:paraId="68BEFD54" w14:textId="23F8D25C"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Dedicated Biomass</w:t>
            </w:r>
          </w:p>
        </w:tc>
      </w:tr>
      <w:tr w:rsidR="00266FFB" w:rsidRPr="005D4912" w14:paraId="6D95DD53" w14:textId="77777777" w:rsidTr="002B10B9">
        <w:trPr>
          <w:trHeight w:val="288"/>
          <w:jc w:val="center"/>
        </w:trPr>
        <w:tc>
          <w:tcPr>
            <w:tcW w:w="4461" w:type="dxa"/>
          </w:tcPr>
          <w:p w14:paraId="405BD431" w14:textId="764E74BB"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 xml:space="preserve">Compressed Air Energy Storage </w:t>
            </w:r>
            <w:r>
              <w:rPr>
                <w:rFonts w:eastAsia="Times New Roman" w:cs="Arial"/>
                <w:lang w:bidi="en-US"/>
              </w:rPr>
              <w:t xml:space="preserve">– </w:t>
            </w:r>
            <w:r w:rsidRPr="005D4912">
              <w:rPr>
                <w:rFonts w:eastAsia="Times New Roman" w:cs="Arial"/>
                <w:lang w:bidi="en-US"/>
              </w:rPr>
              <w:t>Gen II</w:t>
            </w:r>
          </w:p>
        </w:tc>
        <w:tc>
          <w:tcPr>
            <w:tcW w:w="4176" w:type="dxa"/>
          </w:tcPr>
          <w:p w14:paraId="1DE82310" w14:textId="02F90795"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Co-fired Biomass or Wood Waste</w:t>
            </w:r>
          </w:p>
        </w:tc>
      </w:tr>
      <w:tr w:rsidR="00266FFB" w:rsidRPr="005D4912" w14:paraId="67B0A053" w14:textId="77777777" w:rsidTr="002B10B9">
        <w:trPr>
          <w:trHeight w:val="288"/>
          <w:jc w:val="center"/>
        </w:trPr>
        <w:tc>
          <w:tcPr>
            <w:tcW w:w="4461" w:type="dxa"/>
          </w:tcPr>
          <w:p w14:paraId="2958A20E" w14:textId="550710EA"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Advanced Lead Acid Batteries</w:t>
            </w:r>
          </w:p>
        </w:tc>
        <w:tc>
          <w:tcPr>
            <w:tcW w:w="4176" w:type="dxa"/>
          </w:tcPr>
          <w:p w14:paraId="484DB1F3" w14:textId="128AB6A2"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Landfill Gas</w:t>
            </w:r>
          </w:p>
        </w:tc>
      </w:tr>
      <w:tr w:rsidR="00266FFB" w:rsidRPr="005D4912" w14:paraId="6F3D1A58" w14:textId="77777777" w:rsidTr="002B10B9">
        <w:trPr>
          <w:trHeight w:val="288"/>
          <w:jc w:val="center"/>
        </w:trPr>
        <w:tc>
          <w:tcPr>
            <w:tcW w:w="4461" w:type="dxa"/>
          </w:tcPr>
          <w:p w14:paraId="7E038350" w14:textId="6129D142" w:rsidR="00266FFB" w:rsidRPr="005D4912" w:rsidRDefault="00266FFB" w:rsidP="00266FFB">
            <w:pPr>
              <w:spacing w:after="0" w:line="240" w:lineRule="auto"/>
              <w:jc w:val="left"/>
              <w:rPr>
                <w:rFonts w:eastAsia="Times New Roman" w:cs="Arial"/>
                <w:lang w:bidi="en-US"/>
              </w:rPr>
            </w:pPr>
            <w:r w:rsidRPr="005D4912">
              <w:rPr>
                <w:rFonts w:eastAsia="Times New Roman" w:cs="Arial"/>
                <w:lang w:bidi="en-US"/>
              </w:rPr>
              <w:t>Lithium</w:t>
            </w:r>
            <w:r>
              <w:rPr>
                <w:rFonts w:eastAsia="Times New Roman" w:cs="Arial"/>
                <w:lang w:bidi="en-US"/>
              </w:rPr>
              <w:t>-</w:t>
            </w:r>
            <w:r w:rsidRPr="005D4912">
              <w:rPr>
                <w:rFonts w:eastAsia="Times New Roman" w:cs="Arial"/>
                <w:lang w:bidi="en-US"/>
              </w:rPr>
              <w:t>Ion Batteries</w:t>
            </w:r>
          </w:p>
        </w:tc>
        <w:tc>
          <w:tcPr>
            <w:tcW w:w="4176" w:type="dxa"/>
          </w:tcPr>
          <w:p w14:paraId="67D19B3B" w14:textId="6E8D1D1F" w:rsidR="00266FFB" w:rsidRPr="005D4912" w:rsidRDefault="00266FFB" w:rsidP="00266FFB">
            <w:pPr>
              <w:spacing w:after="0" w:line="240" w:lineRule="auto"/>
              <w:jc w:val="left"/>
              <w:rPr>
                <w:rFonts w:eastAsia="Times New Roman" w:cs="Arial"/>
                <w:lang w:bidi="en-US"/>
              </w:rPr>
            </w:pPr>
          </w:p>
        </w:tc>
      </w:tr>
    </w:tbl>
    <w:p w14:paraId="42A26AAC" w14:textId="38C010FB" w:rsidR="00004415" w:rsidRDefault="00004415" w:rsidP="004A2729"/>
    <w:p w14:paraId="36EBF2F8" w14:textId="77777777" w:rsidR="006E3CF8" w:rsidRDefault="006E3CF8">
      <w:pPr>
        <w:spacing w:after="160" w:line="259" w:lineRule="auto"/>
        <w:jc w:val="left"/>
        <w:rPr>
          <w:rFonts w:eastAsia="Times New Roman" w:cs="Arial"/>
          <w:lang w:bidi="en-US"/>
        </w:rPr>
      </w:pPr>
      <w:r>
        <w:rPr>
          <w:rFonts w:eastAsia="Times New Roman" w:cs="Arial"/>
          <w:lang w:bidi="en-US"/>
        </w:rPr>
        <w:br w:type="page"/>
      </w:r>
    </w:p>
    <w:bookmarkStart w:id="260" w:name="_Hlk535397224"/>
    <w:bookmarkStart w:id="261" w:name="_Ref532999756"/>
    <w:p w14:paraId="610E8B85" w14:textId="4C44C91E" w:rsidR="006E3CF8" w:rsidRDefault="00974B51" w:rsidP="00F51CCB">
      <w:pPr>
        <w:keepNext/>
        <w:keepLines/>
        <w:spacing w:after="0"/>
        <w:rPr>
          <w:rFonts w:eastAsia="Times New Roman" w:cs="Arial"/>
          <w:lang w:bidi="en-US"/>
        </w:rPr>
      </w:pPr>
      <w:r>
        <w:rPr>
          <w:rFonts w:eastAsia="Times New Roman" w:cs="Arial"/>
          <w:lang w:bidi="en-US"/>
        </w:rPr>
        <w:fldChar w:fldCharType="begin"/>
      </w:r>
      <w:r>
        <w:rPr>
          <w:rFonts w:eastAsia="Times New Roman" w:cs="Arial"/>
          <w:lang w:bidi="en-US"/>
        </w:rPr>
        <w:instrText xml:space="preserve"> REF _Ref536021960 \h </w:instrText>
      </w:r>
      <w:r>
        <w:rPr>
          <w:rFonts w:eastAsia="Times New Roman" w:cs="Arial"/>
          <w:lang w:bidi="en-US"/>
        </w:rPr>
      </w:r>
      <w:r>
        <w:rPr>
          <w:rFonts w:eastAsia="Times New Roman" w:cs="Arial"/>
          <w:lang w:bidi="en-US"/>
        </w:rPr>
        <w:fldChar w:fldCharType="separate"/>
      </w:r>
      <w:r w:rsidR="00F33DA2">
        <w:t>Table B-</w:t>
      </w:r>
      <w:r w:rsidR="00F33DA2">
        <w:rPr>
          <w:noProof/>
        </w:rPr>
        <w:t>4</w:t>
      </w:r>
      <w:r>
        <w:rPr>
          <w:rFonts w:eastAsia="Times New Roman" w:cs="Arial"/>
          <w:lang w:bidi="en-US"/>
        </w:rPr>
        <w:fldChar w:fldCharType="end"/>
      </w:r>
      <w:r w:rsidR="00F51CCB">
        <w:rPr>
          <w:rFonts w:eastAsia="Times New Roman" w:cs="Arial"/>
          <w:lang w:bidi="en-US"/>
        </w:rPr>
        <w:t xml:space="preserve"> </w:t>
      </w:r>
      <w:r w:rsidR="006E3CF8">
        <w:rPr>
          <w:rFonts w:eastAsia="Times New Roman" w:cs="Arial"/>
          <w:lang w:bidi="en-US"/>
        </w:rPr>
        <w:t xml:space="preserve">summarizes the list of technologies that were retained from the </w:t>
      </w:r>
      <w:r w:rsidR="001776C7">
        <w:rPr>
          <w:rFonts w:eastAsia="Times New Roman" w:cs="Arial"/>
          <w:lang w:bidi="en-US"/>
        </w:rPr>
        <w:t xml:space="preserve">secondary </w:t>
      </w:r>
      <w:r w:rsidR="008A3FD8">
        <w:rPr>
          <w:rFonts w:eastAsia="Times New Roman" w:cs="Arial"/>
          <w:lang w:bidi="en-US"/>
        </w:rPr>
        <w:t xml:space="preserve">screening </w:t>
      </w:r>
      <w:r w:rsidR="006E3CF8">
        <w:rPr>
          <w:rFonts w:eastAsia="Times New Roman" w:cs="Arial"/>
          <w:lang w:bidi="en-US"/>
        </w:rPr>
        <w:t>and used as inputs for the expansion planning process.</w:t>
      </w:r>
      <w:bookmarkEnd w:id="260"/>
    </w:p>
    <w:p w14:paraId="48065801" w14:textId="77777777" w:rsidR="006E3CF8" w:rsidRDefault="006E3CF8" w:rsidP="006E3CF8">
      <w:pPr>
        <w:keepNext/>
        <w:keepLines/>
        <w:spacing w:after="0" w:line="240" w:lineRule="auto"/>
        <w:rPr>
          <w:rFonts w:eastAsia="Times New Roman" w:cs="Arial"/>
          <w:lang w:bidi="en-US"/>
        </w:rPr>
      </w:pPr>
    </w:p>
    <w:p w14:paraId="01DE1F9F" w14:textId="1DE777CA" w:rsidR="00471F21" w:rsidRDefault="00974B51" w:rsidP="00974B51">
      <w:pPr>
        <w:pStyle w:val="Caption"/>
        <w:keepNext/>
        <w:jc w:val="center"/>
      </w:pPr>
      <w:bookmarkStart w:id="262" w:name="_Ref536021960"/>
      <w:bookmarkStart w:id="263" w:name="_Ref535404160"/>
      <w:bookmarkEnd w:id="261"/>
      <w:r>
        <w:t>Table B-</w:t>
      </w:r>
      <w:r w:rsidR="00BD3313">
        <w:rPr>
          <w:noProof/>
        </w:rPr>
        <w:fldChar w:fldCharType="begin"/>
      </w:r>
      <w:r w:rsidR="00BD3313">
        <w:rPr>
          <w:noProof/>
        </w:rPr>
        <w:instrText xml:space="preserve"> SEQ Table \* ARABIC </w:instrText>
      </w:r>
      <w:r w:rsidR="00BD3313">
        <w:rPr>
          <w:noProof/>
        </w:rPr>
        <w:fldChar w:fldCharType="separate"/>
      </w:r>
      <w:r w:rsidR="00F33DA2">
        <w:rPr>
          <w:noProof/>
        </w:rPr>
        <w:t>4</w:t>
      </w:r>
      <w:r w:rsidR="00BD3313">
        <w:rPr>
          <w:noProof/>
        </w:rPr>
        <w:fldChar w:fldCharType="end"/>
      </w:r>
      <w:bookmarkEnd w:id="262"/>
      <w:r>
        <w:t xml:space="preserve">: </w:t>
      </w:r>
      <w:r w:rsidRPr="00806B13">
        <w:t>Expansion Planning Technologies</w:t>
      </w:r>
      <w:bookmarkEnd w:id="263"/>
    </w:p>
    <w:tbl>
      <w:tblPr>
        <w:tblW w:w="0" w:type="auto"/>
        <w:jc w:val="center"/>
        <w:tblLayout w:type="fixed"/>
        <w:tblLook w:val="0000" w:firstRow="0" w:lastRow="0" w:firstColumn="0" w:lastColumn="0" w:noHBand="0" w:noVBand="0"/>
      </w:tblPr>
      <w:tblGrid>
        <w:gridCol w:w="4461"/>
        <w:gridCol w:w="4176"/>
      </w:tblGrid>
      <w:tr w:rsidR="002A5104" w:rsidRPr="00EC4627" w14:paraId="641653E5" w14:textId="77777777" w:rsidTr="002B10B9">
        <w:trPr>
          <w:trHeight w:val="288"/>
          <w:jc w:val="center"/>
        </w:trPr>
        <w:tc>
          <w:tcPr>
            <w:tcW w:w="4461" w:type="dxa"/>
            <w:tcBorders>
              <w:top w:val="single" w:sz="12" w:space="0" w:color="auto"/>
              <w:left w:val="single" w:sz="12" w:space="0" w:color="auto"/>
              <w:bottom w:val="single" w:sz="4" w:space="0" w:color="auto"/>
              <w:right w:val="single" w:sz="12" w:space="0" w:color="auto"/>
            </w:tcBorders>
            <w:shd w:val="clear" w:color="auto" w:fill="auto"/>
          </w:tcPr>
          <w:p w14:paraId="609E042E" w14:textId="77777777" w:rsidR="002A5104" w:rsidRPr="002A5104" w:rsidRDefault="002A5104" w:rsidP="008A3FD8">
            <w:pPr>
              <w:spacing w:after="0" w:line="240" w:lineRule="auto"/>
              <w:jc w:val="center"/>
              <w:rPr>
                <w:rFonts w:eastAsia="Times New Roman" w:cs="Arial"/>
                <w:b/>
                <w:u w:val="single"/>
                <w:lang w:bidi="en-US"/>
              </w:rPr>
            </w:pPr>
            <w:r w:rsidRPr="002A5104">
              <w:rPr>
                <w:rFonts w:eastAsia="Times New Roman" w:cs="Arial"/>
                <w:b/>
                <w:u w:val="single"/>
                <w:lang w:bidi="en-US"/>
              </w:rPr>
              <w:t>GAS-FUELED</w:t>
            </w:r>
          </w:p>
        </w:tc>
        <w:tc>
          <w:tcPr>
            <w:tcW w:w="4176" w:type="dxa"/>
            <w:tcBorders>
              <w:top w:val="single" w:sz="12" w:space="0" w:color="auto"/>
              <w:left w:val="single" w:sz="12" w:space="0" w:color="auto"/>
              <w:bottom w:val="single" w:sz="4" w:space="0" w:color="auto"/>
              <w:right w:val="single" w:sz="12" w:space="0" w:color="auto"/>
            </w:tcBorders>
            <w:shd w:val="clear" w:color="auto" w:fill="auto"/>
          </w:tcPr>
          <w:p w14:paraId="29134A4E" w14:textId="77777777" w:rsidR="002A5104" w:rsidRPr="002A5104" w:rsidRDefault="002A5104" w:rsidP="008A3FD8">
            <w:pPr>
              <w:spacing w:after="0" w:line="240" w:lineRule="auto"/>
              <w:jc w:val="center"/>
              <w:rPr>
                <w:rFonts w:eastAsia="Times New Roman" w:cs="Arial"/>
                <w:b/>
                <w:u w:val="single"/>
                <w:lang w:bidi="en-US"/>
              </w:rPr>
            </w:pPr>
            <w:r w:rsidRPr="002A5104">
              <w:rPr>
                <w:rFonts w:eastAsia="Times New Roman" w:cs="Arial"/>
                <w:b/>
                <w:u w:val="single"/>
                <w:lang w:bidi="en-US"/>
              </w:rPr>
              <w:t>RENEWABLES</w:t>
            </w:r>
          </w:p>
        </w:tc>
      </w:tr>
      <w:tr w:rsidR="002A5104" w:rsidRPr="00EC4627" w14:paraId="67A1FEC8" w14:textId="77777777" w:rsidTr="002B10B9">
        <w:trPr>
          <w:trHeight w:val="288"/>
          <w:jc w:val="center"/>
        </w:trPr>
        <w:tc>
          <w:tcPr>
            <w:tcW w:w="4461" w:type="dxa"/>
            <w:tcBorders>
              <w:top w:val="single" w:sz="4" w:space="0" w:color="auto"/>
              <w:left w:val="single" w:sz="12" w:space="0" w:color="auto"/>
              <w:bottom w:val="single" w:sz="4" w:space="0" w:color="auto"/>
              <w:right w:val="single" w:sz="12" w:space="0" w:color="auto"/>
            </w:tcBorders>
            <w:shd w:val="clear" w:color="auto" w:fill="auto"/>
          </w:tcPr>
          <w:p w14:paraId="479D75EC" w14:textId="3EB0F587" w:rsidR="002A5104" w:rsidRPr="002A5104" w:rsidRDefault="002A5104" w:rsidP="008A3FD8">
            <w:pPr>
              <w:spacing w:after="0" w:line="240" w:lineRule="auto"/>
              <w:jc w:val="center"/>
              <w:rPr>
                <w:rFonts w:eastAsia="Times New Roman" w:cs="Arial"/>
                <w:lang w:bidi="en-US"/>
              </w:rPr>
            </w:pPr>
            <w:r w:rsidRPr="002A5104">
              <w:rPr>
                <w:rFonts w:eastAsia="Times New Roman" w:cs="Arial"/>
                <w:lang w:bidi="en-US"/>
              </w:rPr>
              <w:t>CT Conventional</w:t>
            </w:r>
          </w:p>
        </w:tc>
        <w:tc>
          <w:tcPr>
            <w:tcW w:w="4176" w:type="dxa"/>
            <w:tcBorders>
              <w:top w:val="single" w:sz="4" w:space="0" w:color="auto"/>
              <w:left w:val="single" w:sz="12" w:space="0" w:color="auto"/>
              <w:bottom w:val="single" w:sz="4" w:space="0" w:color="auto"/>
              <w:right w:val="single" w:sz="12" w:space="0" w:color="auto"/>
            </w:tcBorders>
            <w:shd w:val="clear" w:color="auto" w:fill="auto"/>
          </w:tcPr>
          <w:p w14:paraId="7EC1B0A1" w14:textId="77777777" w:rsidR="002A5104" w:rsidRPr="002A5104" w:rsidRDefault="002A5104" w:rsidP="008A3FD8">
            <w:pPr>
              <w:spacing w:after="0" w:line="240" w:lineRule="auto"/>
              <w:jc w:val="center"/>
              <w:rPr>
                <w:rFonts w:eastAsia="Times New Roman" w:cs="Arial"/>
                <w:lang w:bidi="en-US"/>
              </w:rPr>
            </w:pPr>
            <w:r w:rsidRPr="002A5104">
              <w:rPr>
                <w:rFonts w:eastAsia="Times New Roman" w:cs="Arial"/>
                <w:lang w:bidi="en-US"/>
              </w:rPr>
              <w:t>Solar PV</w:t>
            </w:r>
          </w:p>
        </w:tc>
      </w:tr>
      <w:tr w:rsidR="002A5104" w:rsidRPr="00EC4627" w14:paraId="7305F698" w14:textId="77777777" w:rsidTr="002B10B9">
        <w:trPr>
          <w:trHeight w:val="288"/>
          <w:jc w:val="center"/>
        </w:trPr>
        <w:tc>
          <w:tcPr>
            <w:tcW w:w="4461" w:type="dxa"/>
            <w:tcBorders>
              <w:top w:val="single" w:sz="4" w:space="0" w:color="auto"/>
              <w:left w:val="single" w:sz="12" w:space="0" w:color="auto"/>
              <w:bottom w:val="single" w:sz="12" w:space="0" w:color="auto"/>
              <w:right w:val="single" w:sz="12" w:space="0" w:color="auto"/>
            </w:tcBorders>
            <w:shd w:val="clear" w:color="auto" w:fill="auto"/>
          </w:tcPr>
          <w:p w14:paraId="4CB826E2" w14:textId="25C82219" w:rsidR="002A5104" w:rsidRPr="002A5104" w:rsidRDefault="002A5104" w:rsidP="008A3FD8">
            <w:pPr>
              <w:spacing w:after="0" w:line="240" w:lineRule="auto"/>
              <w:jc w:val="center"/>
              <w:rPr>
                <w:rFonts w:eastAsia="Times New Roman" w:cs="Arial"/>
                <w:lang w:bidi="en-US"/>
              </w:rPr>
            </w:pPr>
            <w:r w:rsidRPr="002A5104">
              <w:rPr>
                <w:rFonts w:eastAsia="Times New Roman" w:cs="Arial"/>
                <w:lang w:bidi="en-US"/>
              </w:rPr>
              <w:t>CC Advanced</w:t>
            </w:r>
          </w:p>
        </w:tc>
        <w:tc>
          <w:tcPr>
            <w:tcW w:w="4176" w:type="dxa"/>
            <w:tcBorders>
              <w:top w:val="single" w:sz="4" w:space="0" w:color="auto"/>
              <w:left w:val="single" w:sz="12" w:space="0" w:color="auto"/>
              <w:bottom w:val="single" w:sz="12" w:space="0" w:color="auto"/>
              <w:right w:val="single" w:sz="12" w:space="0" w:color="auto"/>
            </w:tcBorders>
            <w:shd w:val="clear" w:color="auto" w:fill="auto"/>
          </w:tcPr>
          <w:p w14:paraId="4FB878FA" w14:textId="77777777" w:rsidR="002A5104" w:rsidRPr="002A5104" w:rsidRDefault="002A5104" w:rsidP="008A3FD8">
            <w:pPr>
              <w:spacing w:after="0" w:line="240" w:lineRule="auto"/>
              <w:jc w:val="center"/>
              <w:rPr>
                <w:rFonts w:eastAsia="Times New Roman" w:cs="Arial"/>
                <w:lang w:bidi="en-US"/>
              </w:rPr>
            </w:pPr>
          </w:p>
        </w:tc>
      </w:tr>
      <w:tr w:rsidR="001776C7" w:rsidRPr="00EC4627" w14:paraId="75DED3B1" w14:textId="77777777" w:rsidTr="002B10B9">
        <w:trPr>
          <w:jc w:val="center"/>
        </w:trPr>
        <w:tc>
          <w:tcPr>
            <w:tcW w:w="8637" w:type="dxa"/>
            <w:gridSpan w:val="2"/>
            <w:tcBorders>
              <w:top w:val="single" w:sz="12" w:space="0" w:color="auto"/>
            </w:tcBorders>
            <w:shd w:val="clear" w:color="auto" w:fill="auto"/>
          </w:tcPr>
          <w:p w14:paraId="6C1666FC" w14:textId="77777777" w:rsidR="008A3FD8" w:rsidRDefault="008A3FD8" w:rsidP="008A3FD8">
            <w:pPr>
              <w:spacing w:after="0" w:line="240" w:lineRule="auto"/>
              <w:jc w:val="left"/>
              <w:rPr>
                <w:rFonts w:eastAsia="Times New Roman" w:cs="Arial"/>
                <w:i/>
                <w:sz w:val="18"/>
                <w:lang w:bidi="en-US"/>
              </w:rPr>
            </w:pPr>
          </w:p>
          <w:p w14:paraId="103F0E84" w14:textId="77777777" w:rsidR="001776C7" w:rsidRDefault="001776C7" w:rsidP="008A3FD8">
            <w:pPr>
              <w:spacing w:after="0" w:line="240" w:lineRule="auto"/>
              <w:jc w:val="left"/>
              <w:rPr>
                <w:rFonts w:eastAsia="Times New Roman" w:cs="Arial"/>
                <w:i/>
                <w:sz w:val="18"/>
                <w:lang w:bidi="en-US"/>
              </w:rPr>
            </w:pPr>
            <w:r w:rsidRPr="008A3FD8">
              <w:rPr>
                <w:rFonts w:eastAsia="Times New Roman" w:cs="Arial"/>
                <w:i/>
                <w:sz w:val="18"/>
                <w:lang w:bidi="en-US"/>
              </w:rPr>
              <w:t>Note: Future environmental controls such as SCR with CT and CCC with CC may be required to align with the scenario planning process</w:t>
            </w:r>
            <w:r>
              <w:rPr>
                <w:rFonts w:eastAsia="Times New Roman" w:cs="Arial"/>
                <w:i/>
                <w:sz w:val="18"/>
                <w:lang w:bidi="en-US"/>
              </w:rPr>
              <w:t>.</w:t>
            </w:r>
          </w:p>
          <w:p w14:paraId="33CDB67E" w14:textId="39731D7D" w:rsidR="00D1479E" w:rsidRPr="002A5104" w:rsidRDefault="00D1479E" w:rsidP="008A3FD8">
            <w:pPr>
              <w:spacing w:after="0" w:line="240" w:lineRule="auto"/>
              <w:jc w:val="left"/>
              <w:rPr>
                <w:rFonts w:eastAsia="Times New Roman" w:cs="Arial"/>
                <w:lang w:bidi="en-US"/>
              </w:rPr>
            </w:pPr>
          </w:p>
        </w:tc>
      </w:tr>
    </w:tbl>
    <w:p w14:paraId="305BDE33" w14:textId="2DCB4B38" w:rsidR="007C391B" w:rsidRDefault="007C391B">
      <w:pPr>
        <w:spacing w:after="160" w:line="259" w:lineRule="auto"/>
        <w:jc w:val="left"/>
      </w:pPr>
      <w:r>
        <w:br w:type="page"/>
      </w:r>
    </w:p>
    <w:p w14:paraId="37508E5C" w14:textId="77777777" w:rsidR="00A63672" w:rsidRDefault="00A63672" w:rsidP="00151CB2">
      <w:pPr>
        <w:pStyle w:val="1B"/>
        <w:sectPr w:rsidR="00A63672" w:rsidSect="00A63672">
          <w:footerReference w:type="default" r:id="rId19"/>
          <w:type w:val="continuous"/>
          <w:pgSz w:w="12240" w:h="15840"/>
          <w:pgMar w:top="1440" w:right="1440" w:bottom="1440" w:left="1440" w:header="720" w:footer="432" w:gutter="0"/>
          <w:cols w:space="720"/>
          <w:docGrid w:linePitch="360"/>
        </w:sectPr>
      </w:pPr>
    </w:p>
    <w:p w14:paraId="0C00BEB3" w14:textId="5FAAD23E" w:rsidR="008E026F" w:rsidRDefault="00D05CEF" w:rsidP="00151CB2">
      <w:pPr>
        <w:pStyle w:val="1B"/>
      </w:pPr>
      <w:bookmarkStart w:id="264" w:name="_Ref534184151"/>
      <w:bookmarkStart w:id="265" w:name="_Toc536209176"/>
      <w:r>
        <w:t>SUMMARY OF THE SYSTEM POOL</w:t>
      </w:r>
      <w:r w:rsidR="007C391B">
        <w:t>ING</w:t>
      </w:r>
      <w:r>
        <w:t xml:space="preserve"> ARRANG</w:t>
      </w:r>
      <w:r w:rsidR="00276141">
        <w:t>E</w:t>
      </w:r>
      <w:r>
        <w:t>MENT</w:t>
      </w:r>
      <w:bookmarkEnd w:id="264"/>
      <w:bookmarkEnd w:id="265"/>
    </w:p>
    <w:p w14:paraId="3BF797C1" w14:textId="7D84BA60" w:rsidR="007C391B" w:rsidRPr="00242096" w:rsidRDefault="007C391B" w:rsidP="008B5F0B">
      <w:pPr>
        <w:pStyle w:val="Heading3"/>
      </w:pPr>
      <w:r w:rsidRPr="00242096">
        <w:t>Introduction</w:t>
      </w:r>
    </w:p>
    <w:p w14:paraId="36DE1268" w14:textId="6AE5F440" w:rsidR="007C391B" w:rsidRPr="007C391B" w:rsidRDefault="007C391B" w:rsidP="004A2729">
      <w:r w:rsidRPr="007C391B">
        <w:t xml:space="preserve">Georgia Power is a member of the </w:t>
      </w:r>
      <w:r w:rsidR="001543D1">
        <w:t>Pool</w:t>
      </w:r>
      <w:r w:rsidRPr="007C391B">
        <w:t xml:space="preserve">, which consists of the Operating </w:t>
      </w:r>
      <w:r w:rsidR="00FC2303" w:rsidRPr="007C391B">
        <w:t>Companies</w:t>
      </w:r>
      <w:r w:rsidR="00FC2303">
        <w:t>.</w:t>
      </w:r>
      <w:r w:rsidR="00FC2303">
        <w:rPr>
          <w:rStyle w:val="FootnoteReference"/>
        </w:rPr>
        <w:footnoteReference w:id="7"/>
      </w:r>
      <w:r w:rsidR="00FC2303">
        <w:t xml:space="preserve"> </w:t>
      </w:r>
      <w:r w:rsidRPr="007C391B">
        <w:t xml:space="preserve">The Operating Companies function as a single, integrated public-utility system through adherence to the </w:t>
      </w:r>
      <w:r w:rsidR="00557E82">
        <w:t xml:space="preserve">Southern Company </w:t>
      </w:r>
      <w:r w:rsidRPr="007C391B">
        <w:t>System Intercompany Interchange Contract (“IIC”), an agreement on file with FERC</w:t>
      </w:r>
      <w:r w:rsidR="00680AEE">
        <w:t xml:space="preserve">. </w:t>
      </w:r>
      <w:r w:rsidRPr="007C391B">
        <w:t>SCS</w:t>
      </w:r>
      <w:r w:rsidR="00822FEB">
        <w:t xml:space="preserve"> </w:t>
      </w:r>
      <w:r w:rsidRPr="007C391B">
        <w:t>acts as agent for the Operating Companies in the administration of the IIC</w:t>
      </w:r>
      <w:r w:rsidR="001D4424">
        <w:t>.</w:t>
      </w:r>
      <w:r w:rsidR="00FC2303">
        <w:t xml:space="preserve"> </w:t>
      </w:r>
      <w:r w:rsidRPr="007C391B">
        <w:t>The IIC provides a framework whereby the generating resources of the Operating Companies are operated in a coordinated and integrated fashion to economically serve their aggregate firm obligations, as well as to engage in shorter term transactions in the wholesale markets</w:t>
      </w:r>
      <w:r w:rsidR="00680AEE">
        <w:t xml:space="preserve">. </w:t>
      </w:r>
      <w:r w:rsidRPr="007C391B">
        <w:t xml:space="preserve">Using traditional concepts of economic dispatch, the Pool deploys available generation to satisfy the aggregate obligations of the </w:t>
      </w:r>
      <w:r w:rsidR="00643CE8">
        <w:t>S</w:t>
      </w:r>
      <w:r w:rsidRPr="007C391B">
        <w:t>ystem at any given time in a reliable and economic fashion</w:t>
      </w:r>
      <w:r w:rsidR="00680AEE">
        <w:t xml:space="preserve">. </w:t>
      </w:r>
      <w:r w:rsidRPr="007C391B">
        <w:t>The IIC also provides for coordinated planning between the Operating Companies and for the sharing of temporary surpluses and deficits of capacity</w:t>
      </w:r>
      <w:r w:rsidR="00680AEE">
        <w:t xml:space="preserve">. </w:t>
      </w:r>
      <w:r w:rsidRPr="007C391B">
        <w:t xml:space="preserve">The IIC ensures that the after-the-fact accounting associated with joint </w:t>
      </w:r>
      <w:r w:rsidR="00643CE8">
        <w:t>S</w:t>
      </w:r>
      <w:r w:rsidRPr="007C391B">
        <w:t>ystem dispatch (energy) and reserve sharing (capacity) is handled in accordance with the principles set forth in that agreement</w:t>
      </w:r>
      <w:r w:rsidR="00680AEE">
        <w:t xml:space="preserve">. </w:t>
      </w:r>
      <w:r w:rsidRPr="007C391B">
        <w:t xml:space="preserve">It should be noted that the coordinated planning process for the </w:t>
      </w:r>
      <w:r w:rsidR="001D4424">
        <w:t>Retail OpCos</w:t>
      </w:r>
      <w:r w:rsidRPr="007C391B">
        <w:t xml:space="preserve"> is functionally separate from the plann</w:t>
      </w:r>
      <w:r w:rsidR="001D4424">
        <w:t>ing process for Southern Powe</w:t>
      </w:r>
      <w:r w:rsidR="00FC2303">
        <w:t>r.</w:t>
      </w:r>
      <w:r w:rsidR="00FC2303">
        <w:rPr>
          <w:rStyle w:val="FootnoteReference"/>
        </w:rPr>
        <w:footnoteReference w:id="8"/>
      </w:r>
    </w:p>
    <w:p w14:paraId="0074F102" w14:textId="77777777" w:rsidR="007C391B" w:rsidRPr="00242096" w:rsidRDefault="007C391B" w:rsidP="008B5F0B">
      <w:pPr>
        <w:pStyle w:val="Heading3"/>
      </w:pPr>
      <w:r w:rsidRPr="00242096">
        <w:t>Relationship of the Operating Companies under the IIC</w:t>
      </w:r>
    </w:p>
    <w:p w14:paraId="214E894F" w14:textId="3FC48D7F" w:rsidR="007C391B" w:rsidRPr="007C391B" w:rsidRDefault="007C391B" w:rsidP="004A2729">
      <w:r w:rsidRPr="007C391B">
        <w:t>The Southern Company Pool is a coordinated Pool, not a centralized Pool</w:t>
      </w:r>
      <w:r w:rsidR="00680AEE">
        <w:t xml:space="preserve">. </w:t>
      </w:r>
      <w:r w:rsidRPr="007C391B">
        <w:t>Although the generating facilities of each Operating Company are committed to a centralized economic dispatch, each individual Operating Company retains the right and the responsibility for providing the generation and transmission facilities necessary to meet the requirements of its customers</w:t>
      </w:r>
      <w:r w:rsidR="00680AEE">
        <w:t xml:space="preserve">. </w:t>
      </w:r>
      <w:r w:rsidRPr="007C391B">
        <w:t>Each Operating Company has its own management that reports to its own board of directors, with the management and the board of directors of each Operating Company being directly responsible for making the decisions that affect that Operating Company and its customers</w:t>
      </w:r>
      <w:r w:rsidR="00680AEE">
        <w:t xml:space="preserve">. </w:t>
      </w:r>
      <w:r w:rsidRPr="007C391B">
        <w:t>They are also responsible for working with local regulators and adhering to the requirements of state law.</w:t>
      </w:r>
    </w:p>
    <w:p w14:paraId="5CF65C4A" w14:textId="2B30B746" w:rsidR="007C391B" w:rsidRPr="007C391B" w:rsidRDefault="007C391B" w:rsidP="004A2729">
      <w:r w:rsidRPr="007C391B">
        <w:t>Accordingly, each Operating Company has its own distinct characteristics in regard to types of generation and load</w:t>
      </w:r>
      <w:r w:rsidR="00680AEE">
        <w:t xml:space="preserve">. </w:t>
      </w:r>
      <w:r w:rsidRPr="007C391B">
        <w:t>For example, Alabama Power, Georgia Power</w:t>
      </w:r>
      <w:r w:rsidR="001D4424">
        <w:t>,</w:t>
      </w:r>
      <w:r w:rsidRPr="007C391B">
        <w:t xml:space="preserve"> and Southern Power bring </w:t>
      </w:r>
      <w:r w:rsidR="009649EE">
        <w:t>hydro</w:t>
      </w:r>
      <w:r w:rsidRPr="007C391B">
        <w:t xml:space="preserve"> and nuclear generating capacity to the Pool, while the other Operating Companies do not</w:t>
      </w:r>
      <w:r w:rsidR="00680AEE">
        <w:t xml:space="preserve">. </w:t>
      </w:r>
      <w:r w:rsidRPr="007C391B">
        <w:t>Similarly, the load characteristics of the Operating Companies vary due to the types of customers each brings to the Pool</w:t>
      </w:r>
      <w:r w:rsidR="00680AEE">
        <w:t xml:space="preserve">. </w:t>
      </w:r>
      <w:r w:rsidRPr="007C391B">
        <w:t>The differing economies within each Operating Company territory and customer base lead to different load growth rates and load shapes for each Operating Company.</w:t>
      </w:r>
    </w:p>
    <w:p w14:paraId="095C4B08" w14:textId="77777777" w:rsidR="003F53A4" w:rsidRPr="007C391B" w:rsidRDefault="003F53A4" w:rsidP="003F53A4">
      <w:r w:rsidRPr="007C391B">
        <w:t xml:space="preserve">The IIC provides for an Operating Committee that consists of one representative of each </w:t>
      </w:r>
      <w:bookmarkStart w:id="267" w:name="_Hlk534369096"/>
      <w:r>
        <w:t>Southern</w:t>
      </w:r>
      <w:bookmarkEnd w:id="267"/>
      <w:r>
        <w:t xml:space="preserve"> </w:t>
      </w:r>
      <w:r w:rsidRPr="007C391B">
        <w:t>Operating Company and SCS, with the SCS representative acting as a non-voting Chairman</w:t>
      </w:r>
      <w:r>
        <w:t>.</w:t>
      </w:r>
      <w:r>
        <w:rPr>
          <w:rStyle w:val="FootnoteReference"/>
        </w:rPr>
        <w:footnoteReference w:id="9"/>
      </w:r>
      <w:r>
        <w:t xml:space="preserve"> </w:t>
      </w:r>
      <w:r w:rsidRPr="007C391B">
        <w:t xml:space="preserve">The functional separation of certain activities of Southern Power restricts the participation of its Operating Committee member in some matters (such as discussions and recommendations involving the coordinated planning of the </w:t>
      </w:r>
      <w:r>
        <w:t>Retail OpCos</w:t>
      </w:r>
      <w:r w:rsidRPr="007C391B">
        <w:t>)</w:t>
      </w:r>
      <w:r>
        <w:t xml:space="preserve">. </w:t>
      </w:r>
      <w:r w:rsidRPr="007C391B">
        <w:t xml:space="preserve">A unanimous vote of the Operating </w:t>
      </w:r>
      <w:r>
        <w:t xml:space="preserve">Committee voting </w:t>
      </w:r>
      <w:r w:rsidRPr="007C391B">
        <w:t>members is required in order to change the IIC.</w:t>
      </w:r>
    </w:p>
    <w:p w14:paraId="031B8F43" w14:textId="77777777" w:rsidR="007C391B" w:rsidRPr="00242096" w:rsidRDefault="007C391B" w:rsidP="008B5F0B">
      <w:pPr>
        <w:pStyle w:val="Heading3"/>
      </w:pPr>
      <w:r w:rsidRPr="00242096">
        <w:t>Interconnections</w:t>
      </w:r>
    </w:p>
    <w:p w14:paraId="5353B11D" w14:textId="5E6BB984" w:rsidR="007C391B" w:rsidRPr="007C391B" w:rsidRDefault="007C391B" w:rsidP="004A2729">
      <w:r w:rsidRPr="007C391B">
        <w:t>The Operating Companies are interconnected with 12 non-associated utilities through 61 different transmission facilities</w:t>
      </w:r>
      <w:r w:rsidR="00680AEE">
        <w:t xml:space="preserve">. </w:t>
      </w:r>
      <w:r w:rsidRPr="007C391B">
        <w:t>These transmission lines are operated at voltages of 46 kV, 69 kV, 115 kV, 161 kV, 230 kV</w:t>
      </w:r>
      <w:r w:rsidR="001D4424">
        <w:t>,</w:t>
      </w:r>
      <w:r w:rsidRPr="007C391B">
        <w:t xml:space="preserve"> and 500 kV, and include facilities that are operated normally open</w:t>
      </w:r>
      <w:r w:rsidR="00680AEE">
        <w:t xml:space="preserve">. </w:t>
      </w:r>
      <w:r w:rsidRPr="007C391B">
        <w:t>The non-associated utilities with which the System is interconnected are shown in</w:t>
      </w:r>
      <w:r w:rsidR="00A87D92">
        <w:t xml:space="preserve"> </w:t>
      </w:r>
      <w:r w:rsidR="00A87D92">
        <w:fldChar w:fldCharType="begin"/>
      </w:r>
      <w:r w:rsidR="00A87D92">
        <w:instrText xml:space="preserve"> REF _Ref532999496 \h </w:instrText>
      </w:r>
      <w:r w:rsidR="00A87D92">
        <w:fldChar w:fldCharType="separate"/>
      </w:r>
      <w:r w:rsidR="00F33DA2">
        <w:t>Table C-</w:t>
      </w:r>
      <w:r w:rsidR="00F33DA2">
        <w:rPr>
          <w:noProof/>
        </w:rPr>
        <w:t>5</w:t>
      </w:r>
      <w:r w:rsidR="00A87D92">
        <w:fldChar w:fldCharType="end"/>
      </w:r>
      <w:r w:rsidRPr="007C391B">
        <w:t>.</w:t>
      </w:r>
    </w:p>
    <w:p w14:paraId="74E07E09" w14:textId="1A5878C1" w:rsidR="00FD5DF5" w:rsidRDefault="00FD5DF5" w:rsidP="00A87D92">
      <w:pPr>
        <w:pStyle w:val="Caption"/>
        <w:keepNext/>
        <w:keepLines/>
        <w:jc w:val="center"/>
      </w:pPr>
      <w:bookmarkStart w:id="268" w:name="_Ref532999496"/>
      <w:r>
        <w:t xml:space="preserve">Table </w:t>
      </w:r>
      <w:r w:rsidR="00FB3B8F">
        <w:t>C-</w:t>
      </w:r>
      <w:r w:rsidR="00FA0526">
        <w:rPr>
          <w:noProof/>
        </w:rPr>
        <w:fldChar w:fldCharType="begin"/>
      </w:r>
      <w:r w:rsidR="00FA0526">
        <w:rPr>
          <w:noProof/>
        </w:rPr>
        <w:instrText xml:space="preserve"> SEQ Table \* ARABIC </w:instrText>
      </w:r>
      <w:r w:rsidR="00FA0526">
        <w:rPr>
          <w:noProof/>
        </w:rPr>
        <w:fldChar w:fldCharType="separate"/>
      </w:r>
      <w:r w:rsidR="00F33DA2">
        <w:rPr>
          <w:noProof/>
        </w:rPr>
        <w:t>5</w:t>
      </w:r>
      <w:r w:rsidR="00FA0526">
        <w:rPr>
          <w:noProof/>
        </w:rPr>
        <w:fldChar w:fldCharType="end"/>
      </w:r>
      <w:bookmarkEnd w:id="268"/>
      <w:r w:rsidR="00FB3B8F">
        <w:t>:</w:t>
      </w:r>
      <w:r>
        <w:t xml:space="preserve"> Non-Associated Utilities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836"/>
        <w:gridCol w:w="4569"/>
      </w:tblGrid>
      <w:tr w:rsidR="007C391B" w:rsidRPr="004A2729" w14:paraId="4CDB5C84" w14:textId="77777777" w:rsidTr="001C2E23">
        <w:trPr>
          <w:trHeight w:val="288"/>
          <w:jc w:val="center"/>
        </w:trPr>
        <w:tc>
          <w:tcPr>
            <w:tcW w:w="0" w:type="auto"/>
            <w:vAlign w:val="center"/>
          </w:tcPr>
          <w:p w14:paraId="71D9B0CA"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Florida Power &amp; Light Company</w:t>
            </w:r>
          </w:p>
        </w:tc>
        <w:tc>
          <w:tcPr>
            <w:tcW w:w="0" w:type="auto"/>
            <w:vAlign w:val="center"/>
          </w:tcPr>
          <w:p w14:paraId="47601A3C" w14:textId="4D2D3704" w:rsidR="007C391B" w:rsidRPr="004A2729" w:rsidRDefault="002B0775" w:rsidP="00A87D92">
            <w:pPr>
              <w:keepNext/>
              <w:keepLines/>
              <w:spacing w:after="0" w:line="240" w:lineRule="auto"/>
              <w:jc w:val="left"/>
              <w:rPr>
                <w:rFonts w:asciiTheme="minorHAnsi" w:eastAsia="Times New Roman" w:hAnsiTheme="minorHAnsi" w:cstheme="minorHAnsi"/>
                <w:szCs w:val="24"/>
              </w:rPr>
            </w:pPr>
            <w:r>
              <w:rPr>
                <w:rFonts w:asciiTheme="minorHAnsi" w:eastAsia="Times New Roman" w:hAnsiTheme="minorHAnsi" w:cstheme="minorHAnsi"/>
                <w:szCs w:val="24"/>
              </w:rPr>
              <w:t>Duke Energy Florida</w:t>
            </w:r>
          </w:p>
        </w:tc>
      </w:tr>
      <w:tr w:rsidR="007C391B" w:rsidRPr="004A2729" w14:paraId="3C74F6E2" w14:textId="77777777" w:rsidTr="001C2E23">
        <w:trPr>
          <w:trHeight w:val="288"/>
          <w:jc w:val="center"/>
        </w:trPr>
        <w:tc>
          <w:tcPr>
            <w:tcW w:w="0" w:type="auto"/>
            <w:vAlign w:val="center"/>
          </w:tcPr>
          <w:p w14:paraId="1679234D"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JEA</w:t>
            </w:r>
          </w:p>
        </w:tc>
        <w:tc>
          <w:tcPr>
            <w:tcW w:w="0" w:type="auto"/>
            <w:vAlign w:val="center"/>
          </w:tcPr>
          <w:p w14:paraId="404BF14D"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City of Tallahassee</w:t>
            </w:r>
          </w:p>
        </w:tc>
      </w:tr>
      <w:tr w:rsidR="007C391B" w:rsidRPr="004A2729" w14:paraId="272DD03D" w14:textId="77777777" w:rsidTr="001C2E23">
        <w:trPr>
          <w:trHeight w:val="288"/>
          <w:jc w:val="center"/>
        </w:trPr>
        <w:tc>
          <w:tcPr>
            <w:tcW w:w="0" w:type="auto"/>
            <w:vAlign w:val="center"/>
          </w:tcPr>
          <w:p w14:paraId="6E3002C2"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Duke Energy Corporation (Carolinas)</w:t>
            </w:r>
          </w:p>
        </w:tc>
        <w:tc>
          <w:tcPr>
            <w:tcW w:w="0" w:type="auto"/>
            <w:vAlign w:val="center"/>
          </w:tcPr>
          <w:p w14:paraId="42E6B155"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South Carolina Electric &amp; Gas Company</w:t>
            </w:r>
          </w:p>
        </w:tc>
      </w:tr>
      <w:tr w:rsidR="007C391B" w:rsidRPr="004A2729" w14:paraId="6B20F979" w14:textId="77777777" w:rsidTr="001C2E23">
        <w:trPr>
          <w:trHeight w:val="288"/>
          <w:jc w:val="center"/>
        </w:trPr>
        <w:tc>
          <w:tcPr>
            <w:tcW w:w="0" w:type="auto"/>
            <w:vAlign w:val="center"/>
          </w:tcPr>
          <w:p w14:paraId="239A7D24"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Tennessee Valley Authority</w:t>
            </w:r>
          </w:p>
        </w:tc>
        <w:tc>
          <w:tcPr>
            <w:tcW w:w="0" w:type="auto"/>
            <w:vAlign w:val="center"/>
          </w:tcPr>
          <w:p w14:paraId="78BFA4C4"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South Carolina Public Service Authority</w:t>
            </w:r>
          </w:p>
        </w:tc>
      </w:tr>
      <w:tr w:rsidR="007C391B" w:rsidRPr="004A2729" w14:paraId="35DB7D01" w14:textId="77777777" w:rsidTr="001C2E23">
        <w:trPr>
          <w:trHeight w:val="288"/>
          <w:jc w:val="center"/>
        </w:trPr>
        <w:tc>
          <w:tcPr>
            <w:tcW w:w="0" w:type="auto"/>
            <w:vAlign w:val="center"/>
          </w:tcPr>
          <w:p w14:paraId="6B0F83FA"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Entergy Corporation</w:t>
            </w:r>
          </w:p>
        </w:tc>
        <w:tc>
          <w:tcPr>
            <w:tcW w:w="0" w:type="auto"/>
            <w:vAlign w:val="center"/>
          </w:tcPr>
          <w:p w14:paraId="4D46F2C0"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Crisp County Power Commission</w:t>
            </w:r>
          </w:p>
        </w:tc>
      </w:tr>
      <w:tr w:rsidR="007C391B" w:rsidRPr="004A2729" w14:paraId="3855417C" w14:textId="77777777" w:rsidTr="001C2E23">
        <w:trPr>
          <w:trHeight w:val="288"/>
          <w:jc w:val="center"/>
        </w:trPr>
        <w:tc>
          <w:tcPr>
            <w:tcW w:w="0" w:type="auto"/>
            <w:vAlign w:val="center"/>
          </w:tcPr>
          <w:p w14:paraId="40574D41"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PowerSouth Energy Cooperative</w:t>
            </w:r>
          </w:p>
        </w:tc>
        <w:tc>
          <w:tcPr>
            <w:tcW w:w="0" w:type="auto"/>
            <w:vAlign w:val="center"/>
          </w:tcPr>
          <w:p w14:paraId="703B91CC" w14:textId="77777777" w:rsidR="007C391B" w:rsidRPr="004A2729" w:rsidRDefault="007C391B" w:rsidP="00A87D92">
            <w:pPr>
              <w:keepNext/>
              <w:keepLines/>
              <w:spacing w:after="0" w:line="240" w:lineRule="auto"/>
              <w:jc w:val="left"/>
              <w:rPr>
                <w:rFonts w:asciiTheme="minorHAnsi" w:eastAsia="Times New Roman" w:hAnsiTheme="minorHAnsi" w:cstheme="minorHAnsi"/>
                <w:szCs w:val="24"/>
              </w:rPr>
            </w:pPr>
            <w:r w:rsidRPr="004A2729">
              <w:rPr>
                <w:rFonts w:asciiTheme="minorHAnsi" w:eastAsia="Times New Roman" w:hAnsiTheme="minorHAnsi" w:cstheme="minorHAnsi"/>
                <w:szCs w:val="24"/>
              </w:rPr>
              <w:t>South Mississippi Electric Power Association</w:t>
            </w:r>
          </w:p>
        </w:tc>
      </w:tr>
    </w:tbl>
    <w:p w14:paraId="39BE0DFC" w14:textId="77777777" w:rsidR="007C391B" w:rsidRPr="00242096" w:rsidRDefault="007C391B" w:rsidP="007C391B">
      <w:pPr>
        <w:rPr>
          <w:rFonts w:ascii="Times New Roman" w:eastAsia="Times New Roman" w:hAnsi="Times New Roman" w:cs="Times New Roman"/>
          <w:sz w:val="24"/>
          <w:szCs w:val="24"/>
        </w:rPr>
      </w:pPr>
    </w:p>
    <w:p w14:paraId="4B2B5184" w14:textId="77777777" w:rsidR="007C391B" w:rsidRPr="00242096" w:rsidRDefault="007C391B" w:rsidP="008B5F0B">
      <w:pPr>
        <w:pStyle w:val="Heading3"/>
      </w:pPr>
      <w:r w:rsidRPr="00242096">
        <w:t>Basic Principles of the IIC</w:t>
      </w:r>
    </w:p>
    <w:p w14:paraId="57E30E0B" w14:textId="4865D972" w:rsidR="007C391B" w:rsidRPr="007C391B" w:rsidRDefault="007C391B" w:rsidP="004A2729">
      <w:r w:rsidRPr="007C391B">
        <w:t>The basic principles of the IIC can be summarized as follows</w:t>
      </w:r>
      <w:r w:rsidR="00680AEE">
        <w:t xml:space="preserve">. </w:t>
      </w:r>
    </w:p>
    <w:p w14:paraId="1AA1D85D" w14:textId="77777777" w:rsidR="007C391B" w:rsidRDefault="007C391B" w:rsidP="00DD00CB">
      <w:pPr>
        <w:pStyle w:val="NoSpacing"/>
        <w:numPr>
          <w:ilvl w:val="0"/>
          <w:numId w:val="11"/>
        </w:numPr>
      </w:pPr>
      <w:r w:rsidRPr="007C391B">
        <w:t>Each Operating Company submits its load and generation to the Pool for joint commitment and economic dispatch.</w:t>
      </w:r>
    </w:p>
    <w:p w14:paraId="00600210" w14:textId="47AF6776" w:rsidR="004A2729" w:rsidRDefault="007C391B" w:rsidP="00DD00CB">
      <w:pPr>
        <w:pStyle w:val="NoSpacing"/>
        <w:numPr>
          <w:ilvl w:val="0"/>
          <w:numId w:val="11"/>
        </w:numPr>
      </w:pPr>
      <w:r>
        <w:t>E</w:t>
      </w:r>
      <w:r w:rsidRPr="007C391B">
        <w:t>nergy Principles</w:t>
      </w:r>
      <w:r w:rsidR="0056395F">
        <w:t>:</w:t>
      </w:r>
    </w:p>
    <w:p w14:paraId="35D9FB92" w14:textId="2B79F2B0" w:rsidR="007C391B" w:rsidRDefault="007C391B" w:rsidP="00DD00CB">
      <w:pPr>
        <w:pStyle w:val="NoSpacing"/>
        <w:numPr>
          <w:ilvl w:val="1"/>
          <w:numId w:val="11"/>
        </w:numPr>
      </w:pPr>
      <w:r w:rsidRPr="007C391B">
        <w:t>Each Operating Company retains its lowest cost resources to serve its customers.</w:t>
      </w:r>
    </w:p>
    <w:p w14:paraId="7E440CE0" w14:textId="77777777" w:rsidR="007C391B" w:rsidRDefault="007C391B" w:rsidP="00DD00CB">
      <w:pPr>
        <w:pStyle w:val="NoSpacing"/>
        <w:numPr>
          <w:ilvl w:val="1"/>
          <w:numId w:val="11"/>
        </w:numPr>
      </w:pPr>
      <w:r w:rsidRPr="007C391B">
        <w:t>An Operating Company’s excess energy is next made available to the other Operating Companies to serve their customers if the cost of the Pool energy is less than the cost of energy from their own resources.</w:t>
      </w:r>
    </w:p>
    <w:p w14:paraId="3154FD26" w14:textId="77777777" w:rsidR="007C391B" w:rsidRDefault="007C391B" w:rsidP="00DD00CB">
      <w:pPr>
        <w:pStyle w:val="NoSpacing"/>
        <w:numPr>
          <w:ilvl w:val="1"/>
          <w:numId w:val="11"/>
        </w:numPr>
      </w:pPr>
      <w:r w:rsidRPr="007C391B">
        <w:t>Energy in excess of that necessary to serve the Operating Companies’ customers is marketed by the Pool to the wholesale markets.</w:t>
      </w:r>
    </w:p>
    <w:p w14:paraId="7CF72313" w14:textId="1522E71E" w:rsidR="007C391B" w:rsidRDefault="007C391B" w:rsidP="00DD00CB">
      <w:pPr>
        <w:pStyle w:val="NoSpacing"/>
        <w:numPr>
          <w:ilvl w:val="0"/>
          <w:numId w:val="11"/>
        </w:numPr>
      </w:pPr>
      <w:r w:rsidRPr="007C391B">
        <w:t xml:space="preserve">The IIC provides for coordinated planning among the </w:t>
      </w:r>
      <w:r w:rsidR="003C0761">
        <w:t>Retail OpCos</w:t>
      </w:r>
      <w:r w:rsidRPr="007C391B">
        <w:t xml:space="preserve"> and for the sharing among all Operating Companies of temporary surpluses and deficits of capacity.</w:t>
      </w:r>
      <w:r w:rsidR="00FC2303">
        <w:rPr>
          <w:rStyle w:val="FootnoteReference"/>
        </w:rPr>
        <w:footnoteReference w:id="10"/>
      </w:r>
    </w:p>
    <w:p w14:paraId="1B0447D4" w14:textId="49308EE2" w:rsidR="007C391B" w:rsidRPr="007C391B" w:rsidRDefault="007C391B" w:rsidP="00DD00CB">
      <w:pPr>
        <w:pStyle w:val="NoSpacing"/>
        <w:numPr>
          <w:ilvl w:val="0"/>
          <w:numId w:val="11"/>
        </w:numPr>
      </w:pPr>
      <w:r w:rsidRPr="007C391B">
        <w:t>Under the IIC, each Operating Company shares in the benefits and pays its share of the costs resulting from their coordinated operations.</w:t>
      </w:r>
    </w:p>
    <w:p w14:paraId="0E44601E" w14:textId="58DE894A" w:rsidR="007C391B" w:rsidRPr="007C391B" w:rsidRDefault="007C391B" w:rsidP="004A2729">
      <w:r w:rsidRPr="007C391B">
        <w:t>Participation in the Southern Company Pool provides benefits to the Operating Companies and to their customers</w:t>
      </w:r>
      <w:r w:rsidR="00680AEE">
        <w:t xml:space="preserve">. </w:t>
      </w:r>
      <w:r w:rsidRPr="007C391B">
        <w:t>This not only enhances Georgia Power’s ability to provide reliable, low-cost electric service to its customers but also to achieve economies of scale in any required investments</w:t>
      </w:r>
      <w:r w:rsidR="00680AEE">
        <w:t xml:space="preserve">. </w:t>
      </w:r>
      <w:r w:rsidRPr="007C391B">
        <w:t>Benefits of Pool participation include:</w:t>
      </w:r>
    </w:p>
    <w:p w14:paraId="7028190A" w14:textId="39E0560B" w:rsidR="007C391B" w:rsidRPr="007C391B" w:rsidRDefault="007C391B" w:rsidP="00DD00CB">
      <w:pPr>
        <w:pStyle w:val="NoSpacing"/>
        <w:numPr>
          <w:ilvl w:val="0"/>
          <w:numId w:val="12"/>
        </w:numPr>
      </w:pPr>
      <w:r w:rsidRPr="007C391B">
        <w:t>Staggering construction of new generating facilities so that each retail Operating Company can construct and install the optimum sized generating facilities while utilizing economies of scale;</w:t>
      </w:r>
    </w:p>
    <w:p w14:paraId="4D559309" w14:textId="0F138980" w:rsidR="007C391B" w:rsidRPr="007C391B" w:rsidRDefault="007C391B" w:rsidP="00DD00CB">
      <w:pPr>
        <w:pStyle w:val="NoSpacing"/>
        <w:numPr>
          <w:ilvl w:val="0"/>
          <w:numId w:val="12"/>
        </w:numPr>
      </w:pPr>
      <w:r w:rsidRPr="007C391B">
        <w:t>Sharing temporary surpluses and deficits of generating capacity that can arise as a result of coordinated planning or other circumstances (e.g., staggered construction schedules, variations in load patterns, load forecast uncertainties, etc.);</w:t>
      </w:r>
    </w:p>
    <w:p w14:paraId="66F6AA97" w14:textId="6EBCE2BC" w:rsidR="007C391B" w:rsidRPr="007C391B" w:rsidRDefault="007C391B" w:rsidP="00DD00CB">
      <w:pPr>
        <w:pStyle w:val="NoSpacing"/>
        <w:numPr>
          <w:ilvl w:val="0"/>
          <w:numId w:val="12"/>
        </w:numPr>
      </w:pPr>
      <w:r w:rsidRPr="007C391B">
        <w:t>Coordinating scheduled maintenance to provide greater flexibility, including major maintenance requiring relatively long unit outages, as well as mitigating the cost impact (to customers) of these required outages;</w:t>
      </w:r>
    </w:p>
    <w:p w14:paraId="1FFB5965" w14:textId="65977820" w:rsidR="007C391B" w:rsidRPr="007C391B" w:rsidRDefault="007C391B" w:rsidP="00DD00CB">
      <w:pPr>
        <w:pStyle w:val="NoSpacing"/>
        <w:numPr>
          <w:ilvl w:val="0"/>
          <w:numId w:val="12"/>
        </w:numPr>
      </w:pPr>
      <w:r w:rsidRPr="007C391B">
        <w:t xml:space="preserve">Carrying a lower generation planning reserve margin (due primarily to </w:t>
      </w:r>
      <w:r w:rsidR="00643CE8">
        <w:t>S</w:t>
      </w:r>
      <w:r w:rsidRPr="007C391B">
        <w:t>ystem load diversity), which enables each Operating Company to have a lower investment in generating resources;</w:t>
      </w:r>
    </w:p>
    <w:p w14:paraId="08A138CF" w14:textId="69322CBD" w:rsidR="007C391B" w:rsidRPr="007C391B" w:rsidRDefault="007C391B" w:rsidP="00DD00CB">
      <w:pPr>
        <w:pStyle w:val="NoSpacing"/>
        <w:numPr>
          <w:ilvl w:val="0"/>
          <w:numId w:val="12"/>
        </w:numPr>
      </w:pPr>
      <w:r w:rsidRPr="007C391B">
        <w:t>Providing reliable service with shared operating reserve requirements (which puts downward pressure on fuel costs);</w:t>
      </w:r>
    </w:p>
    <w:p w14:paraId="2C0D0AC2" w14:textId="3A0A1C84" w:rsidR="007C391B" w:rsidRPr="007C391B" w:rsidRDefault="007C391B" w:rsidP="00DD00CB">
      <w:pPr>
        <w:pStyle w:val="NoSpacing"/>
        <w:numPr>
          <w:ilvl w:val="0"/>
          <w:numId w:val="12"/>
        </w:numPr>
      </w:pPr>
      <w:r w:rsidRPr="007C391B">
        <w:t>Access to lower cost energy from other Operating Companies;</w:t>
      </w:r>
    </w:p>
    <w:p w14:paraId="0B6278BD" w14:textId="3C735A71" w:rsidR="007C391B" w:rsidRPr="007C391B" w:rsidRDefault="007C391B" w:rsidP="00DD00CB">
      <w:pPr>
        <w:pStyle w:val="NoSpacing"/>
        <w:numPr>
          <w:ilvl w:val="0"/>
          <w:numId w:val="12"/>
        </w:numPr>
      </w:pPr>
      <w:r w:rsidRPr="007C391B">
        <w:t xml:space="preserve">Enhanced reliability of electric service through the use of transmission interconnections to provide backup service in case of emergencies as well as providing the ability to import lower </w:t>
      </w:r>
      <w:r w:rsidR="003F53A4">
        <w:t>cost energy when available; and</w:t>
      </w:r>
    </w:p>
    <w:p w14:paraId="5BBEB058" w14:textId="69708CBB" w:rsidR="007C391B" w:rsidRPr="007C391B" w:rsidRDefault="007C391B" w:rsidP="00DD00CB">
      <w:pPr>
        <w:pStyle w:val="NoSpacing"/>
        <w:numPr>
          <w:ilvl w:val="0"/>
          <w:numId w:val="12"/>
        </w:numPr>
      </w:pPr>
      <w:r w:rsidRPr="007C391B">
        <w:t>Acting as a Pool (instead of individual Operating Companies) to identify shorter term purchase and sale opportunities in the wholesale markets that may be available from time to time.</w:t>
      </w:r>
    </w:p>
    <w:p w14:paraId="3D7FF6F6" w14:textId="77777777" w:rsidR="007C391B" w:rsidRPr="00242096" w:rsidRDefault="007C391B" w:rsidP="008B5F0B">
      <w:pPr>
        <w:pStyle w:val="Heading3"/>
      </w:pPr>
      <w:r w:rsidRPr="00242096">
        <w:t>Basic Operation of the IIC</w:t>
      </w:r>
    </w:p>
    <w:p w14:paraId="713210C8" w14:textId="3419AFE3" w:rsidR="007C391B" w:rsidRPr="007C391B" w:rsidRDefault="007C391B" w:rsidP="004A2729">
      <w:r w:rsidRPr="007C391B">
        <w:t xml:space="preserve">The concept of economic dispatch, which seeks to minimize the total </w:t>
      </w:r>
      <w:r w:rsidR="00643CE8">
        <w:t>S</w:t>
      </w:r>
      <w:r w:rsidRPr="007C391B">
        <w:t>ystem production cost, is one of the major benefits of the Pool</w:t>
      </w:r>
      <w:r w:rsidR="00680AEE">
        <w:t xml:space="preserve">. </w:t>
      </w:r>
      <w:r w:rsidRPr="007C391B">
        <w:t xml:space="preserve">The generating assets of all the Operating Companies in the Pool are committed and dispatched as a common </w:t>
      </w:r>
      <w:r w:rsidR="00643CE8">
        <w:t>S</w:t>
      </w:r>
      <w:r w:rsidRPr="007C391B">
        <w:t>ystem without regard to the ownership of each generating facility</w:t>
      </w:r>
      <w:r w:rsidR="00680AEE">
        <w:t xml:space="preserve">. </w:t>
      </w:r>
      <w:r w:rsidRPr="007C391B">
        <w:t>Subject to operational constraints and reliability considerations, the lowest cost generation assets are dispatched during each hour to meet the total needs of the customers of all the Operating Companies</w:t>
      </w:r>
      <w:r w:rsidR="00680AEE">
        <w:t xml:space="preserve">. </w:t>
      </w:r>
      <w:r w:rsidRPr="007C391B">
        <w:t>The goal of this process is to ensure that the lowest cost energy is produced every hour</w:t>
      </w:r>
      <w:r w:rsidR="00680AEE">
        <w:t xml:space="preserve">. </w:t>
      </w:r>
      <w:r w:rsidRPr="007C391B">
        <w:t>It also should be reiterated that each Operating Company retains its lowest cost generation to serve that Operating Company’s customers</w:t>
      </w:r>
      <w:r w:rsidR="002B0775">
        <w:t>.</w:t>
      </w:r>
    </w:p>
    <w:p w14:paraId="28BACB8F" w14:textId="5E625B2A" w:rsidR="007C391B" w:rsidRPr="007C391B" w:rsidRDefault="007C391B" w:rsidP="004A2729">
      <w:r w:rsidRPr="007C391B">
        <w:t>The Pool also interfaces with the wholesale markets on behalf of the Operating Companies for both sales and purchases</w:t>
      </w:r>
      <w:r w:rsidR="00680AEE">
        <w:t xml:space="preserve">. </w:t>
      </w:r>
      <w:r w:rsidRPr="007C391B">
        <w:t>When the Pool has excess power available, it will pursue wholesale sales opportunities for which there is a reasonable expectation that the transaction will result in positive net margin for the Operating Companies</w:t>
      </w:r>
      <w:r w:rsidR="00680AEE">
        <w:t xml:space="preserve">. </w:t>
      </w:r>
      <w:r w:rsidRPr="007C391B">
        <w:t xml:space="preserve">There are two primary reasons for the Pool to seek purchase opportunities: (1) economics; and (2) reliability. The Pool will pursue purchase opportunities from the wholesale markets if such purchases are expected to be more economical than </w:t>
      </w:r>
      <w:r w:rsidR="00643CE8">
        <w:t>S</w:t>
      </w:r>
      <w:r w:rsidRPr="007C391B">
        <w:t xml:space="preserve">ystem resources (again, subject to operational constraints and </w:t>
      </w:r>
      <w:r w:rsidR="00643CE8">
        <w:t>S</w:t>
      </w:r>
      <w:r w:rsidRPr="007C391B">
        <w:t>ystem reliability)</w:t>
      </w:r>
      <w:r w:rsidR="00680AEE">
        <w:t xml:space="preserve">. </w:t>
      </w:r>
      <w:r w:rsidRPr="007C391B">
        <w:t>In the event the Pool experiences reliability challenges, then the Pool may seek purchases in response to such operating conditions.</w:t>
      </w:r>
    </w:p>
    <w:p w14:paraId="211FED04" w14:textId="77777777" w:rsidR="007C391B" w:rsidRPr="00242096" w:rsidRDefault="007C391B" w:rsidP="008B5F0B">
      <w:pPr>
        <w:pStyle w:val="Heading3"/>
      </w:pPr>
      <w:r w:rsidRPr="00242096">
        <w:t>Reserve Sharing</w:t>
      </w:r>
    </w:p>
    <w:p w14:paraId="60D4718B" w14:textId="253E9F50" w:rsidR="007C391B" w:rsidRPr="007C391B" w:rsidRDefault="007C391B" w:rsidP="004A2729">
      <w:r w:rsidRPr="007C391B">
        <w:t>As noted in the introduction, the IIC contains capacity provisions, commonly referred to as “reserve sharing</w:t>
      </w:r>
      <w:r w:rsidR="003F53A4">
        <w:t>,</w:t>
      </w:r>
      <w:r w:rsidRPr="007C391B">
        <w:t>” that provide for a sharing of temporary generating capacity surpluses and deficits that are a result of coordinated planning or other circumstances</w:t>
      </w:r>
      <w:r w:rsidR="00680AEE">
        <w:t xml:space="preserve">. </w:t>
      </w:r>
      <w:r w:rsidRPr="007C391B">
        <w:t>As participants in the coordinated operation of the integrated electric system, each Operating Company enjoys the same level of service reliability</w:t>
      </w:r>
      <w:r w:rsidR="00680AEE">
        <w:t xml:space="preserve">. </w:t>
      </w:r>
      <w:r w:rsidRPr="007C391B">
        <w:t xml:space="preserve">In any given month, however, one or more Operating Companies will have a temporary surplus or deficit of capacity relative to the overall level of actual </w:t>
      </w:r>
      <w:r w:rsidR="00643CE8">
        <w:t>S</w:t>
      </w:r>
      <w:r w:rsidRPr="007C391B">
        <w:t>ystem reserves</w:t>
      </w:r>
      <w:r w:rsidR="00680AEE">
        <w:t xml:space="preserve">. </w:t>
      </w:r>
      <w:r w:rsidRPr="007C391B">
        <w:t>Consistent with the goal of sharing in the benefits and burdens of the coordinated and integrated electric system, the reserve sharing provisions of the IIC provide for the equitable allocation of such temporary surplus or deficit capacity</w:t>
      </w:r>
      <w:r w:rsidR="00680AEE">
        <w:t xml:space="preserve">. </w:t>
      </w:r>
      <w:r w:rsidRPr="007C391B">
        <w:t>The resulting purchase and sale of capacity is transacted on a monthly basis.</w:t>
      </w:r>
    </w:p>
    <w:p w14:paraId="5114B916" w14:textId="0FC680AA" w:rsidR="007C391B" w:rsidRPr="007C391B" w:rsidRDefault="007C391B" w:rsidP="004A2729">
      <w:r w:rsidRPr="007C391B">
        <w:t>Reserve sharing is determined by comparing each Operating Company’s load responsibility with its respective capacity resources recognized through the coordinated planning process</w:t>
      </w:r>
      <w:r w:rsidR="00680AEE">
        <w:t xml:space="preserve">. </w:t>
      </w:r>
      <w:r w:rsidRPr="007C391B">
        <w:t>The Operating Companies must own or purchase sufficient capacity (including capacity available for load service and that which is unavailable due to forced outage, partial outage, and maintenance outage) needed to reliably serve their respective load responsibilities</w:t>
      </w:r>
      <w:r w:rsidR="00680AEE">
        <w:t xml:space="preserve">. </w:t>
      </w:r>
      <w:r w:rsidRPr="007C391B">
        <w:t>Capacity above that amount is considered reserve capacity, and each Operating Company is responsible for a portion of such reserve capacity based upon historical peak load ratios</w:t>
      </w:r>
      <w:r w:rsidR="00680AEE">
        <w:t xml:space="preserve">. </w:t>
      </w:r>
      <w:r w:rsidRPr="007C391B">
        <w:t>If an Operating Company’s reserve capacity is less than its reserve responsibility, that Operating Company will make reserve sharing payments under the IIC for the month.</w:t>
      </w:r>
    </w:p>
    <w:p w14:paraId="230D67CC" w14:textId="27A9BEA9" w:rsidR="007C391B" w:rsidRPr="007C391B" w:rsidRDefault="007C391B" w:rsidP="004A2729">
      <w:r w:rsidRPr="007C391B">
        <w:t>Each Operating Company develops an annual charge (payments are based on monthly capacity worth) based upon the cost of its most recently installed or purchased peaking resource(s)</w:t>
      </w:r>
      <w:r w:rsidR="00680AEE">
        <w:t xml:space="preserve">. </w:t>
      </w:r>
      <w:r w:rsidRPr="007C391B">
        <w:t>The Operating Companies that are “selling” capacity to the Pool will receive a payment from the Pool based upon their respective capacity rates</w:t>
      </w:r>
      <w:r w:rsidR="00680AEE">
        <w:t xml:space="preserve">. </w:t>
      </w:r>
      <w:r w:rsidRPr="007C391B">
        <w:t>The Operating Companies that are “buying” capacity from the Pool will make payments to the Pool based upon the weighted average of the capacity rates of the “selling” Operating Companies</w:t>
      </w:r>
      <w:r w:rsidR="00680AEE">
        <w:t xml:space="preserve">. </w:t>
      </w:r>
      <w:r w:rsidRPr="007C391B">
        <w:t>In this way, all the buying Operating Companies pay the same composite cost in a given month for reserve sharing purposes</w:t>
      </w:r>
      <w:r w:rsidR="00680AEE">
        <w:t xml:space="preserve">. </w:t>
      </w:r>
      <w:r w:rsidRPr="007C391B">
        <w:t xml:space="preserve">By definition, the amount by which one or more Operating Companies are “short” (make payments) will be equal to the amount by which one or more Operating Companies are “long” (receive payments). </w:t>
      </w:r>
    </w:p>
    <w:p w14:paraId="5453B8AD" w14:textId="77777777" w:rsidR="007C391B" w:rsidRPr="00242096" w:rsidRDefault="007C391B" w:rsidP="008B5F0B">
      <w:pPr>
        <w:pStyle w:val="Heading3"/>
      </w:pPr>
      <w:r w:rsidRPr="00242096">
        <w:t>Energy Transactions</w:t>
      </w:r>
    </w:p>
    <w:p w14:paraId="2AE0AE33" w14:textId="360416C3" w:rsidR="007C391B" w:rsidRPr="007C391B" w:rsidRDefault="007C391B" w:rsidP="004A2729">
      <w:r w:rsidRPr="007C391B">
        <w:t>Energy transactions within the Pool are accounted for on an hour-to-hour basis, with the accounting occurring after-the-fact utilizing the actual flows among the Operating Companies</w:t>
      </w:r>
      <w:r w:rsidR="00680AEE">
        <w:t xml:space="preserve">. </w:t>
      </w:r>
    </w:p>
    <w:p w14:paraId="08879CD8" w14:textId="6669EF10" w:rsidR="007C391B" w:rsidRPr="007C391B" w:rsidRDefault="007C391B" w:rsidP="004A2729">
      <w:r w:rsidRPr="007C391B">
        <w:t xml:space="preserve">The actual real-time operation of the </w:t>
      </w:r>
      <w:r w:rsidR="00643CE8">
        <w:t>S</w:t>
      </w:r>
      <w:r w:rsidRPr="007C391B">
        <w:t>ystem is based upon the concept of economic energy dispatch, which through on-line computer control assures that available generation is dispatched so as to choose the most economical generation available to serve the total System obligation at any given time</w:t>
      </w:r>
      <w:r w:rsidR="00680AEE">
        <w:t xml:space="preserve">. </w:t>
      </w:r>
      <w:r w:rsidRPr="007C391B">
        <w:t>An adequate set of lowest-cost generating resources is committed in advance to meet the total System obligation, with due regard for generation requirements associated with service area protection, voltage control, unit protection, and other operating limitations considerations.</w:t>
      </w:r>
    </w:p>
    <w:p w14:paraId="5598B46D" w14:textId="0BDC231C" w:rsidR="007C391B" w:rsidRPr="007C391B" w:rsidRDefault="007C391B" w:rsidP="004A2729">
      <w:r w:rsidRPr="007C391B">
        <w:t>For billing purposes under the IIC, each Operating Company is deemed to have retained its lowest-cost energy resources (most notably hydro and nuclear) to serve its own territorial customers, plus whichever of its resources that may have been operating outside of economic dispatch for purposes of service area protection or voltage control</w:t>
      </w:r>
      <w:r w:rsidR="00680AEE">
        <w:t xml:space="preserve">. </w:t>
      </w:r>
      <w:r w:rsidRPr="007C391B">
        <w:t>To the extent an Operating Company’s generation exceeds its own load obligations, such energy is sold to the Pool under the IIC</w:t>
      </w:r>
      <w:r w:rsidR="00680AEE">
        <w:t xml:space="preserve">. </w:t>
      </w:r>
      <w:r w:rsidRPr="007C391B">
        <w:t>If an Operating Company’s generation is not equal to or greater than its own load obligations, the difference is purchased from the Pool</w:t>
      </w:r>
      <w:r w:rsidR="00680AEE">
        <w:t xml:space="preserve">. </w:t>
      </w:r>
      <w:r w:rsidRPr="007C391B">
        <w:t>The energy rate for energy sold to or purchased from the Pool by each Operating Company is referred to as the Associated Interchange Energy Rate and represents the incremental System cost of serving the Operating Companies’ aggregate firm obligations</w:t>
      </w:r>
      <w:r w:rsidR="00680AEE">
        <w:t xml:space="preserve">. </w:t>
      </w:r>
      <w:r w:rsidRPr="007C391B">
        <w:t>Under the IIC, the determination of which Operating Companies are buying from and which are selling to the Pool is made on an hourly basis, and an invoice that accounts for these energy transactions is rendered monthly.</w:t>
      </w:r>
    </w:p>
    <w:p w14:paraId="5E4EAF02" w14:textId="77777777" w:rsidR="007C391B" w:rsidRPr="00242096" w:rsidRDefault="007C391B" w:rsidP="008B5F0B">
      <w:pPr>
        <w:pStyle w:val="Heading3"/>
      </w:pPr>
      <w:r w:rsidRPr="00242096">
        <w:t>Peak-Period Load Ratios</w:t>
      </w:r>
    </w:p>
    <w:p w14:paraId="0B9CD1C5" w14:textId="77777777" w:rsidR="007C391B" w:rsidRPr="007C391B" w:rsidRDefault="007C391B" w:rsidP="004A2729">
      <w:r w:rsidRPr="007C391B">
        <w:t>Peak-Period Load Ratios are utilized in the allocation of certain energy and capacity transactions by the Pool with non-associated systems, hydro regulation energy losses, increases in cost due to hydro regulation, and other allocations provided for in the IIC and the Manual to the IIC.</w:t>
      </w:r>
    </w:p>
    <w:p w14:paraId="1A283794" w14:textId="6FEBF987" w:rsidR="007C391B" w:rsidRPr="007C391B" w:rsidRDefault="007C391B" w:rsidP="004A2729">
      <w:r w:rsidRPr="007C391B">
        <w:t>The Peak-Period Load Ratios for each contract year are based upon the prior year’s actual peak-period energy in the months of June, July, and August for each Operating Company. The peak period is defined to be the 14 hours between 7:00 a.m. and 9:00 p.m. of each weekday, excluding holidays. The System peak-period energy is equal to the sum of all the Operating Companies’ peak-period energy.</w:t>
      </w:r>
    </w:p>
    <w:p w14:paraId="13760B10" w14:textId="36958F81" w:rsidR="002872C5" w:rsidRDefault="007C391B" w:rsidP="002872C5">
      <w:r w:rsidRPr="007C391B">
        <w:t>The Peak-Period Load Ratios are determined by dividing each Operating Company’s summation of the June, July, and August actual weekday peak-period energy loads by the total System June, July</w:t>
      </w:r>
      <w:r w:rsidR="003C0761">
        <w:t>,</w:t>
      </w:r>
      <w:r w:rsidRPr="007C391B">
        <w:t xml:space="preserve"> and August actual weekday peak-period energy loads.</w:t>
      </w:r>
    </w:p>
    <w:p w14:paraId="22AF217B" w14:textId="77777777" w:rsidR="002872C5" w:rsidRDefault="002872C5">
      <w:pPr>
        <w:spacing w:after="160" w:line="259" w:lineRule="auto"/>
        <w:jc w:val="left"/>
      </w:pPr>
      <w:r>
        <w:br w:type="page"/>
      </w:r>
    </w:p>
    <w:p w14:paraId="3D4B7C35" w14:textId="77777777" w:rsidR="00A63672" w:rsidRDefault="00A63672" w:rsidP="002872C5">
      <w:pPr>
        <w:pStyle w:val="1B"/>
        <w:sectPr w:rsidR="00A63672" w:rsidSect="00A63672">
          <w:footerReference w:type="default" r:id="rId20"/>
          <w:type w:val="continuous"/>
          <w:pgSz w:w="12240" w:h="15840"/>
          <w:pgMar w:top="1440" w:right="1440" w:bottom="1440" w:left="1440" w:header="720" w:footer="432" w:gutter="0"/>
          <w:cols w:space="720"/>
          <w:docGrid w:linePitch="360"/>
        </w:sectPr>
      </w:pPr>
      <w:bookmarkStart w:id="269" w:name="_Ref533066883"/>
    </w:p>
    <w:p w14:paraId="5B95525C" w14:textId="2872203D" w:rsidR="002872C5" w:rsidRDefault="002872C5" w:rsidP="002872C5">
      <w:pPr>
        <w:pStyle w:val="1B"/>
      </w:pPr>
      <w:bookmarkStart w:id="270" w:name="_Ref533152765"/>
      <w:bookmarkStart w:id="271" w:name="_Toc536209177"/>
      <w:r w:rsidRPr="00E33B8A">
        <w:t>APPLICATION FOR CERTIFICATION OF CAPACITY</w:t>
      </w:r>
      <w:r>
        <w:t xml:space="preserve"> FROM PLANT SCHERER UNIT 3</w:t>
      </w:r>
      <w:bookmarkEnd w:id="269"/>
      <w:bookmarkEnd w:id="270"/>
      <w:bookmarkEnd w:id="271"/>
    </w:p>
    <w:p w14:paraId="127AFED7" w14:textId="77777777" w:rsidR="002872C5" w:rsidRPr="00B77339" w:rsidRDefault="002872C5" w:rsidP="002872C5">
      <w:pPr>
        <w:pStyle w:val="Heading3"/>
      </w:pPr>
      <w:bookmarkStart w:id="272" w:name="_Toc532472014"/>
      <w:r w:rsidRPr="00B77339">
        <w:t>Executive Summary</w:t>
      </w:r>
      <w:bookmarkEnd w:id="272"/>
    </w:p>
    <w:p w14:paraId="138F388D" w14:textId="77777777" w:rsidR="002872C5" w:rsidRPr="00B77339" w:rsidRDefault="002872C5" w:rsidP="002872C5">
      <w:pPr>
        <w:pStyle w:val="Heading4"/>
      </w:pPr>
      <w:bookmarkStart w:id="273" w:name="_Toc532472015"/>
      <w:r w:rsidRPr="00B77339">
        <w:t>Capacity Resources</w:t>
      </w:r>
      <w:bookmarkEnd w:id="273"/>
    </w:p>
    <w:p w14:paraId="787946C5" w14:textId="457E6E83" w:rsidR="002872C5" w:rsidRDefault="002872C5" w:rsidP="002872C5">
      <w:r>
        <w:t xml:space="preserve">Georgia Power seeks to certify approximately 25 MW of capacity from Plant Scherer Unit 3 pursuant to the terms and conditions offered in this filing. This capacity is made available to the retail jurisdiction pursuant to the plan approved by the Commission in its Orders in Docket No. 26550-U. See </w:t>
      </w:r>
      <w:r>
        <w:rPr>
          <w:i/>
        </w:rPr>
        <w:t xml:space="preserve">Order approving Georgia Power Company’s Proposal to Offer Certain Wholesale Capacity Blocks to Retail </w:t>
      </w:r>
      <w:r w:rsidRPr="003F53A4">
        <w:rPr>
          <w:i/>
        </w:rPr>
        <w:t>Jurisdiction</w:t>
      </w:r>
      <w:r>
        <w:t xml:space="preserve">, Docket No. 26550-U (July 30, 2008) (the “Plan”). The Plan provided that this capacity would be offered to the retail jurisdiction (1) on terms equivalent to that which the Company could obtain in the then-current markets, (2) in a manner that would not adversely affect the Company’s ability to continue to sell such resources into the wholesale markets, and (3) in a manner such that the RFP process was not adversely affected. </w:t>
      </w:r>
    </w:p>
    <w:p w14:paraId="5F9CF3B1" w14:textId="1D71A118" w:rsidR="002872C5" w:rsidRDefault="002872C5" w:rsidP="002872C5">
      <w:r>
        <w:t>Georgia Power’s offer of the approximately 25 MW of wholesale capacity from Plant Scherer Unit</w:t>
      </w:r>
      <w:r w:rsidR="0056395F">
        <w:t> </w:t>
      </w:r>
      <w:r>
        <w:t>3 is consistent with the mandates of the Commission-approved Plan. Additional information on the Company’s offer can be found in the Selected Supporting Information sectio</w:t>
      </w:r>
      <w:r w:rsidR="000B0868">
        <w:t>n of Technical Appendix Volume 1</w:t>
      </w:r>
      <w:r>
        <w:t>. In accordance with the Plan, the Company now files for certification p</w:t>
      </w:r>
      <w:r w:rsidRPr="001544F5">
        <w:t>ursuant</w:t>
      </w:r>
      <w:r w:rsidRPr="00B77339">
        <w:t xml:space="preserve"> to</w:t>
      </w:r>
      <w:r>
        <w:t xml:space="preserve"> Commission Rule 515-3-4-.04(3)(f) and</w:t>
      </w:r>
      <w:r w:rsidRPr="00B77339">
        <w:t xml:space="preserve"> O.C.G.A. </w:t>
      </w:r>
      <w:r w:rsidR="000231AA" w:rsidRPr="00E775CA">
        <w:t xml:space="preserve">§ </w:t>
      </w:r>
      <w:r w:rsidR="000231AA" w:rsidRPr="00B77339">
        <w:t>46-3A-</w:t>
      </w:r>
      <w:r w:rsidR="00C8659D">
        <w:t>3</w:t>
      </w:r>
      <w:r>
        <w:t xml:space="preserve">. </w:t>
      </w:r>
      <w:bookmarkStart w:id="274" w:name="_Hlk535346622"/>
      <w:r>
        <w:t xml:space="preserve">The Company requests that </w:t>
      </w:r>
      <w:r w:rsidR="003F53A4">
        <w:t>Acceptance and Certification, or rejection, of this offer be determined in the final decision issued in this case.</w:t>
      </w:r>
    </w:p>
    <w:p w14:paraId="233DBE85" w14:textId="77777777" w:rsidR="002872C5" w:rsidRPr="00B77339" w:rsidRDefault="002872C5" w:rsidP="002872C5">
      <w:pPr>
        <w:pStyle w:val="Heading4"/>
      </w:pPr>
      <w:bookmarkStart w:id="275" w:name="_Toc532472016"/>
      <w:bookmarkEnd w:id="274"/>
      <w:r w:rsidRPr="00B77339">
        <w:t xml:space="preserve">History of the Capacity Resource </w:t>
      </w:r>
      <w:r>
        <w:t>Offer</w:t>
      </w:r>
      <w:bookmarkEnd w:id="275"/>
    </w:p>
    <w:p w14:paraId="12C2B967" w14:textId="5A966EB3" w:rsidR="002872C5" w:rsidRDefault="002872C5" w:rsidP="002872C5">
      <w:r>
        <w:t xml:space="preserve">On December 20, 2007, the Commission initiated a proceeding to consider whether it has the authority to require Georgia Power to first make capacity available to retail customers through a competitive solicitation before entering into any new contracts with wholesale customers. The Company and various intervenors submitted comments on the matter. Based upon the comments received, the Commission amended its Procedural and Scheduling Order in Docket No. 26550-U to provide the Parties an opportunity to make a good faith effort to resolve the matter and develop a resource specific plan of action. The Company conferred with other Parties and developed a plan that would provide for the Company to offer certain wholesale capacity </w:t>
      </w:r>
      <w:r w:rsidR="003F53A4">
        <w:t xml:space="preserve">blocks </w:t>
      </w:r>
      <w:r>
        <w:t>to the retail jurisdiction on a one-time basis. At its Administrative Session on July 15, 2008, the Commission approved this Plan</w:t>
      </w:r>
      <w:r w:rsidR="003F53A4">
        <w:t>,</w:t>
      </w:r>
      <w:r>
        <w:t xml:space="preserve"> and</w:t>
      </w:r>
      <w:r w:rsidR="002D43C7">
        <w:t>,</w:t>
      </w:r>
      <w:r>
        <w:t xml:space="preserve"> subsequently, the Commission Order approving the Plan was filed on July 30, 2008.</w:t>
      </w:r>
      <w:r w:rsidR="00BF1FE2">
        <w:t xml:space="preserve"> </w:t>
      </w:r>
      <w:r>
        <w:t xml:space="preserve">The Commission has previously certified several offers to bring resources to the retail jurisdiction under the Plan, including resources at Plant Scherer Unit 3 and resources from Wholesale Blocks 1, 2-4, and 5 &amp; 6. </w:t>
      </w:r>
    </w:p>
    <w:p w14:paraId="534F6A07" w14:textId="77777777" w:rsidR="002872C5" w:rsidRDefault="002872C5" w:rsidP="002872C5">
      <w:r>
        <w:t>The Company’s offer in this 2019 IRP to bring additional capacity from Plant Scherer Unit 3 to the retail jurisdiction is the next step in the implementation of the Plan and aligns with the Company’s recognition of the importance of maintaining fuel diversity for the benefit of retail customers.</w:t>
      </w:r>
    </w:p>
    <w:p w14:paraId="28A35E91" w14:textId="1EE45FD7" w:rsidR="002872C5" w:rsidRPr="00B77339" w:rsidRDefault="002872C5" w:rsidP="002872C5">
      <w:r>
        <w:t xml:space="preserve">As stated in </w:t>
      </w:r>
      <w:r w:rsidR="00B05B41">
        <w:fldChar w:fldCharType="begin"/>
      </w:r>
      <w:r w:rsidR="00B05B41">
        <w:instrText xml:space="preserve"> REF _Ref532996905 \r \h </w:instrText>
      </w:r>
      <w:r w:rsidR="00B05B41">
        <w:fldChar w:fldCharType="separate"/>
      </w:r>
      <w:r w:rsidR="00F33DA2">
        <w:t>CHAPTER 11</w:t>
      </w:r>
      <w:r w:rsidR="00B05B41">
        <w:fldChar w:fldCharType="end"/>
      </w:r>
      <w:r>
        <w:t xml:space="preserve"> of the 2019 IRP Main Document, as </w:t>
      </w:r>
      <w:r w:rsidR="00DD7EC0">
        <w:t>required</w:t>
      </w:r>
      <w:r>
        <w:t xml:space="preserve"> by the July 30, 2008 Order in Docket No. 26550-U, Georgia Power is offering approximately 25 MW of capacity from Plant Scherer Unit 3 to the retail jurisdiction to serve retail customers when the capacity becomes</w:t>
      </w:r>
      <w:r w:rsidR="00BF1FE2">
        <w:t xml:space="preserve"> available on January 1, 2020. </w:t>
      </w:r>
      <w:r>
        <w:t>Please see the Selected Supporting Information sectio</w:t>
      </w:r>
      <w:r w:rsidR="000B0868">
        <w:t>n of Technical Appendix Volume 1</w:t>
      </w:r>
      <w:r>
        <w:t xml:space="preserve"> for the Company’s offer of this cap</w:t>
      </w:r>
      <w:r w:rsidR="00BF1FE2">
        <w:t>acity.</w:t>
      </w:r>
    </w:p>
    <w:p w14:paraId="24019CCE" w14:textId="6CE94833" w:rsidR="0056395F" w:rsidRPr="00B77339" w:rsidRDefault="0056395F" w:rsidP="0056395F">
      <w:pPr>
        <w:pStyle w:val="Heading3"/>
      </w:pPr>
      <w:bookmarkStart w:id="276" w:name="_Toc532472017"/>
      <w:bookmarkStart w:id="277" w:name="_Toc532472018"/>
      <w:r>
        <w:t>Certification Process</w:t>
      </w:r>
      <w:bookmarkEnd w:id="276"/>
    </w:p>
    <w:p w14:paraId="3F47AC25" w14:textId="77777777" w:rsidR="002872C5" w:rsidRPr="002D50CE" w:rsidRDefault="002872C5" w:rsidP="002872C5">
      <w:pPr>
        <w:pStyle w:val="Heading4"/>
      </w:pPr>
      <w:r w:rsidRPr="002D50CE">
        <w:t>Terms of Purchase</w:t>
      </w:r>
      <w:bookmarkEnd w:id="277"/>
    </w:p>
    <w:p w14:paraId="3BA3CAF4" w14:textId="73F09CA8" w:rsidR="002872C5" w:rsidRDefault="002872C5" w:rsidP="002872C5">
      <w:r>
        <w:t xml:space="preserve">In conjunction with adherence to the Plan, the Company recognizes the importance of maintaining fuel diversity and, thus, proposes to take the opportunity to acquire additional capacity from the Company’s </w:t>
      </w:r>
      <w:r w:rsidR="004A4B8E">
        <w:t>most economic</w:t>
      </w:r>
      <w:r w:rsidR="001C2170">
        <w:t>al</w:t>
      </w:r>
      <w:r>
        <w:t xml:space="preserve"> coal resource, Plant Scherer. The terms of the offer of the Plant Scherer Unit 3 wholesale block capacity to the retail jurisdiction are found in the Selected Supporting Information section of Technical Appendix Volume </w:t>
      </w:r>
      <w:r w:rsidR="000B0868">
        <w:t>1</w:t>
      </w:r>
      <w:r>
        <w:t>.</w:t>
      </w:r>
    </w:p>
    <w:p w14:paraId="15ADBF5F" w14:textId="77777777" w:rsidR="002872C5" w:rsidRPr="002D50CE" w:rsidRDefault="002872C5" w:rsidP="002872C5">
      <w:pPr>
        <w:pStyle w:val="Heading4"/>
      </w:pPr>
      <w:bookmarkStart w:id="278" w:name="_Toc532472019"/>
      <w:r w:rsidRPr="002D50CE">
        <w:t>Cost of Purchase</w:t>
      </w:r>
      <w:bookmarkEnd w:id="278"/>
    </w:p>
    <w:p w14:paraId="459352FD" w14:textId="73B589CE" w:rsidR="002872C5" w:rsidRPr="005918FE" w:rsidRDefault="002872C5" w:rsidP="002872C5">
      <w:r>
        <w:t xml:space="preserve">The Company proposes to offer the Plant Scherer </w:t>
      </w:r>
      <w:r w:rsidR="00D22AE5">
        <w:t xml:space="preserve">Unit 3 </w:t>
      </w:r>
      <w:r>
        <w:t xml:space="preserve">wholesale block capacity under the same Market Differential Adjustment (“MDA”) construct utilized in previous offers. The MDA would serve to impact base rates by adjusting projected retail revenues. The offer included in the Selected Supporting Information section of Technical Appendix Volume </w:t>
      </w:r>
      <w:r w:rsidR="000B0868">
        <w:t>1</w:t>
      </w:r>
      <w:r>
        <w:t xml:space="preserve"> details the purchase cost for the </w:t>
      </w:r>
      <w:r w:rsidR="00D22AE5">
        <w:t xml:space="preserve">Plant </w:t>
      </w:r>
      <w:r>
        <w:t>Scherer Unit 3 wholesale block capacity.</w:t>
      </w:r>
    </w:p>
    <w:p w14:paraId="3FE38595" w14:textId="77777777" w:rsidR="002872C5" w:rsidRPr="005918FE" w:rsidRDefault="002872C5" w:rsidP="002872C5">
      <w:pPr>
        <w:pStyle w:val="Heading4"/>
      </w:pPr>
      <w:bookmarkStart w:id="279" w:name="_Toc532472020"/>
      <w:r w:rsidRPr="002D50CE">
        <w:t>Proposed Ratemaking Treatment</w:t>
      </w:r>
      <w:bookmarkEnd w:id="279"/>
      <w:r>
        <w:t xml:space="preserve"> </w:t>
      </w:r>
    </w:p>
    <w:p w14:paraId="16887E85" w14:textId="2BB94AF6" w:rsidR="002872C5" w:rsidRDefault="002872C5" w:rsidP="002872C5">
      <w:r>
        <w:t>The assets shall be placed in retail rate base at their current book value, accompanied</w:t>
      </w:r>
      <w:r w:rsidR="00BF1FE2">
        <w:t xml:space="preserve"> by the utilization of an MDA. </w:t>
      </w:r>
      <w:r>
        <w:t>To ensure the proper allocation of the MDA to the retail jurisdiction, the MDA will be treated as an adjustment to retail base revenues available for regulatory purposes, thereby resulting in an adjustment in retail base revenue requirements.</w:t>
      </w:r>
    </w:p>
    <w:p w14:paraId="0D6A828C" w14:textId="756C17D5" w:rsidR="002872C5" w:rsidRPr="006E75A5" w:rsidRDefault="00501257" w:rsidP="002872C5">
      <w:r>
        <w:t xml:space="preserve">Similar to other assets in retail rate base, all prudently incurred actual </w:t>
      </w:r>
      <w:r w:rsidR="001A3C31">
        <w:t>fuel</w:t>
      </w:r>
      <w:r>
        <w:t xml:space="preserve"> costs associated with the resources will be recovered through the fuel cost recovery process. The assets shall be </w:t>
      </w:r>
      <w:r w:rsidR="002872C5">
        <w:t xml:space="preserve">placed in retail rate base and treated in the same manner as all other generation assets in retail rate base. There are no additional warranties for performance, and the recovery of all costs will be consistent with the recovery for cost on all other retail rate base generation assets. For example, costs incurred due to a change in law will be included in retail rate base; the Company does not warrant any level of availability or heat rate; actual non-fuel O&amp;M costs shall be recovered in retail base rates. For additional details on the offer, please see the Selected Supporting Information section of Technical Appendix Volume </w:t>
      </w:r>
      <w:r w:rsidR="000B0868">
        <w:t>1</w:t>
      </w:r>
      <w:r w:rsidR="002872C5">
        <w:t>.</w:t>
      </w:r>
    </w:p>
    <w:p w14:paraId="4A1EDA40" w14:textId="77777777" w:rsidR="002872C5" w:rsidRPr="002D50CE" w:rsidRDefault="002872C5" w:rsidP="002872C5">
      <w:pPr>
        <w:pStyle w:val="Heading4"/>
      </w:pPr>
      <w:bookmarkStart w:id="280" w:name="_Toc532472021"/>
      <w:r w:rsidRPr="002D50CE">
        <w:t>Depreciation Analysis</w:t>
      </w:r>
      <w:bookmarkEnd w:id="280"/>
    </w:p>
    <w:p w14:paraId="6414B2F3" w14:textId="15DD3347" w:rsidR="002872C5" w:rsidRDefault="002872C5" w:rsidP="00501257">
      <w:r>
        <w:t xml:space="preserve">The estimated depreciation schedule for </w:t>
      </w:r>
      <w:r w:rsidR="00D22AE5">
        <w:t xml:space="preserve">Plant </w:t>
      </w:r>
      <w:r>
        <w:t xml:space="preserve">Scherer Unit 3 wholesale block capacity </w:t>
      </w:r>
      <w:r w:rsidR="00501257">
        <w:t>can be found in the Selected Supporting Information section of Technical Appendix Volume 1.</w:t>
      </w:r>
    </w:p>
    <w:p w14:paraId="7AAC6D89" w14:textId="77777777" w:rsidR="002872C5" w:rsidRPr="002D50CE" w:rsidRDefault="002872C5" w:rsidP="002872C5">
      <w:pPr>
        <w:pStyle w:val="Heading4"/>
      </w:pPr>
      <w:bookmarkStart w:id="281" w:name="_Toc532472022"/>
      <w:r w:rsidRPr="002D50CE">
        <w:t>Cost Benefit Analysis</w:t>
      </w:r>
      <w:bookmarkEnd w:id="281"/>
    </w:p>
    <w:p w14:paraId="43F31236" w14:textId="1AA6B00C" w:rsidR="002872C5" w:rsidRDefault="002872C5" w:rsidP="002872C5">
      <w:r>
        <w:t xml:space="preserve">As explained in </w:t>
      </w:r>
      <w:r w:rsidR="00B05B41">
        <w:fldChar w:fldCharType="begin"/>
      </w:r>
      <w:r w:rsidR="00B05B41">
        <w:instrText xml:space="preserve"> REF _Ref532996905 \r \h </w:instrText>
      </w:r>
      <w:r w:rsidR="00B05B41">
        <w:fldChar w:fldCharType="separate"/>
      </w:r>
      <w:r w:rsidR="00F33DA2">
        <w:t>CHAPTER 11</w:t>
      </w:r>
      <w:r w:rsidR="00B05B41">
        <w:fldChar w:fldCharType="end"/>
      </w:r>
      <w:r>
        <w:t xml:space="preserve"> of the 2019 IRP Main Document, this 2019 IRP continues the recent trend of decertifying significant amounts of coal capacity. </w:t>
      </w:r>
      <w:r w:rsidR="00263E0E" w:rsidRPr="00BB0D0B">
        <w:t xml:space="preserve">The requirement to offer certain wholesale </w:t>
      </w:r>
      <w:r w:rsidR="00BB0D0B">
        <w:t>blocks</w:t>
      </w:r>
      <w:r w:rsidR="00BB0D0B" w:rsidRPr="00BB0D0B">
        <w:t xml:space="preserve"> </w:t>
      </w:r>
      <w:r w:rsidR="00263E0E" w:rsidRPr="00BB0D0B">
        <w:t xml:space="preserve">to the retail jurisdiction provides an opportunity within the 2019 IRP to consider maintaining some additional fuel diversity as primarily </w:t>
      </w:r>
      <w:r w:rsidR="00263E0E">
        <w:t>older</w:t>
      </w:r>
      <w:r w:rsidR="00263E0E" w:rsidRPr="00640AD8">
        <w:t xml:space="preserve"> coal units retire. In the IRP the Commission will be able to consider the Company’s offer with a complete understanding of the impacts of further reliance on gas as the company continues to grow its renewable resource portfolio. </w:t>
      </w:r>
      <w:r w:rsidR="000B0F47">
        <w:t xml:space="preserve">The majority of Plant Scherer Unit 3 output is already used to serve retail customers; as such, </w:t>
      </w:r>
      <w:r w:rsidR="00263E0E" w:rsidRPr="00640AD8">
        <w:t xml:space="preserve">Plant Scherer as a whole continues to provide economic benefits to customers. </w:t>
      </w:r>
      <w:r w:rsidR="00FF0DEF">
        <w:t xml:space="preserve">In 2009, </w:t>
      </w:r>
      <w:r w:rsidR="00263E0E" w:rsidRPr="00640AD8">
        <w:t>the Commission approved the return of 78</w:t>
      </w:r>
      <w:r w:rsidR="00BB0D0B">
        <w:t xml:space="preserve"> </w:t>
      </w:r>
      <w:r w:rsidR="00263E0E" w:rsidRPr="00BB0D0B">
        <w:t xml:space="preserve">MW of Plant Scherer </w:t>
      </w:r>
      <w:r w:rsidR="00DC5BE5">
        <w:t xml:space="preserve">Unit </w:t>
      </w:r>
      <w:r w:rsidR="00263E0E" w:rsidRPr="00BB0D0B">
        <w:t>3 to the retail jurisdiction. As the Company continues to rely more heavily on gas resources, coal continues to be important to the strategy of maintaining</w:t>
      </w:r>
      <w:r w:rsidR="00BF1FE2">
        <w:t xml:space="preserve"> fuel diversity. </w:t>
      </w:r>
      <w:r w:rsidR="00263E0E" w:rsidRPr="00BB0D0B">
        <w:t xml:space="preserve">Maintaining the capacity and energy diversity of </w:t>
      </w:r>
      <w:r w:rsidR="00DC5BE5">
        <w:t xml:space="preserve">Plant </w:t>
      </w:r>
      <w:r w:rsidR="00263E0E" w:rsidRPr="00BB0D0B">
        <w:t xml:space="preserve">Scherer Unit 3 is even more important during this period of transition to more natural gas and renewable forms of generation. Retaining this capacity for retail service also recognizes the benefits that </w:t>
      </w:r>
      <w:r w:rsidR="00DC5BE5">
        <w:t xml:space="preserve">Plant </w:t>
      </w:r>
      <w:r w:rsidR="00263E0E" w:rsidRPr="00BB0D0B">
        <w:t xml:space="preserve">Scherer Unit 3 has provided to customers over </w:t>
      </w:r>
      <w:r w:rsidR="00D75868">
        <w:t>its</w:t>
      </w:r>
      <w:r w:rsidR="00263E0E" w:rsidRPr="00BB0D0B">
        <w:t xml:space="preserve"> life. Please refer to the Company’s offer presented in the Selected Supporting Information section of Technical Appendix Volume </w:t>
      </w:r>
      <w:r w:rsidR="007C4CE7">
        <w:t>1</w:t>
      </w:r>
      <w:r w:rsidR="00263E0E" w:rsidRPr="00BB0D0B">
        <w:t xml:space="preserve"> for the economics of the </w:t>
      </w:r>
      <w:r w:rsidR="00DC5BE5">
        <w:t xml:space="preserve">Plant </w:t>
      </w:r>
      <w:r w:rsidR="00263E0E" w:rsidRPr="00BB0D0B">
        <w:t xml:space="preserve">Scherer Unit 3 wholesale block </w:t>
      </w:r>
      <w:r w:rsidR="00640AD8" w:rsidRPr="00BB0D0B">
        <w:t>capacity</w:t>
      </w:r>
      <w:r w:rsidR="00640AD8" w:rsidRPr="00640AD8">
        <w:t>.</w:t>
      </w:r>
    </w:p>
    <w:p w14:paraId="3838CA40" w14:textId="05CACF86" w:rsidR="009C650A" w:rsidRDefault="009C650A" w:rsidP="009C650A">
      <w:pPr>
        <w:pStyle w:val="Heading4"/>
      </w:pPr>
      <w:r>
        <w:t>Analysis of Transmission Impacts</w:t>
      </w:r>
    </w:p>
    <w:p w14:paraId="50880904" w14:textId="116B32AC" w:rsidR="009C650A" w:rsidRPr="009C650A" w:rsidRDefault="00D66D10" w:rsidP="009C650A">
      <w:r>
        <w:t>There are no transmission facilities added, modified, or avoided as a result of this certification request.</w:t>
      </w:r>
    </w:p>
    <w:p w14:paraId="5F0E7BC1" w14:textId="77777777" w:rsidR="002872C5" w:rsidRPr="002D50CE" w:rsidRDefault="002872C5" w:rsidP="002872C5">
      <w:pPr>
        <w:pStyle w:val="Heading4"/>
      </w:pPr>
      <w:bookmarkStart w:id="282" w:name="_Toc532472023"/>
      <w:r w:rsidRPr="002D50CE">
        <w:t>Impact on 2019 IRP</w:t>
      </w:r>
      <w:bookmarkEnd w:id="282"/>
    </w:p>
    <w:p w14:paraId="49AE88A8" w14:textId="5BBD7FE4" w:rsidR="002872C5" w:rsidRDefault="002872C5" w:rsidP="002872C5">
      <w:r>
        <w:t xml:space="preserve">The return to retail jurisdiction of the </w:t>
      </w:r>
      <w:r w:rsidR="00DC5BE5">
        <w:t xml:space="preserve">Plant </w:t>
      </w:r>
      <w:r>
        <w:t>Scherer Unit 3 wholesale block capacity is reflected in the various analyses presented in the 2019 IRP.</w:t>
      </w:r>
    </w:p>
    <w:p w14:paraId="691E4660" w14:textId="55F0E919" w:rsidR="00620605" w:rsidRPr="002D50CE" w:rsidRDefault="00620605" w:rsidP="00620605">
      <w:pPr>
        <w:pStyle w:val="Heading4"/>
      </w:pPr>
      <w:bookmarkStart w:id="283" w:name="_Toc532472024"/>
      <w:r w:rsidRPr="002D50CE">
        <w:t xml:space="preserve">Commission Rule Exception </w:t>
      </w:r>
      <w:r w:rsidR="009E367C">
        <w:t xml:space="preserve">to the RFP </w:t>
      </w:r>
      <w:bookmarkEnd w:id="283"/>
      <w:r w:rsidR="009E367C">
        <w:t>Requirement</w:t>
      </w:r>
    </w:p>
    <w:p w14:paraId="367160A6" w14:textId="2C07D679" w:rsidR="002872C5" w:rsidRDefault="001842BA" w:rsidP="002872C5">
      <w:r w:rsidRPr="001842BA">
        <w:t>Pursuant to the Commission’s Order Approving Georgia Power Company’s Proposal to Offer Certain Wholesale Capacity Blocks to the Retail Jurisdiction</w:t>
      </w:r>
      <w:r w:rsidR="003F53A4">
        <w:t>,</w:t>
      </w:r>
      <w:r w:rsidRPr="001842BA">
        <w:t xml:space="preserve"> the Company is required to offer the </w:t>
      </w:r>
      <w:r w:rsidR="00DC5BE5">
        <w:t xml:space="preserve">Plant </w:t>
      </w:r>
      <w:r w:rsidRPr="001842BA">
        <w:t>Scherer Unit 3 capacity to retail customers. As part of the Commission’s Order, the Company agreed to offer the wholesale blocks as they become available to the retail jurisdiction (1) on terms equivalent to that which the Company could obtain in the then-current wholesale market, (2) in a manner that would not adversely affect the Company’s ability to continue to sell such resources into the wholesale market, and (3) in a manner that the RFP pro</w:t>
      </w:r>
      <w:r>
        <w:t xml:space="preserve">cess is not adversely affected. </w:t>
      </w:r>
      <w:r w:rsidR="000B0F47">
        <w:t>As noted earlier, t</w:t>
      </w:r>
      <w:r w:rsidRPr="001842BA">
        <w:t xml:space="preserve">he Company has made </w:t>
      </w:r>
      <w:r w:rsidR="000B0F47">
        <w:t xml:space="preserve">several </w:t>
      </w:r>
      <w:r w:rsidRPr="001842BA">
        <w:t>offers to the Commission since the Commission Order approving the Company’s Pro</w:t>
      </w:r>
      <w:r w:rsidR="00BB7FCB">
        <w:t>posal was issued on</w:t>
      </w:r>
      <w:r w:rsidRPr="001842BA">
        <w:t xml:space="preserve"> July 30, 2008. The Order clearly recognizes the importance of timing of the offers to the ability to remarket capacity and the importance of the IRP in that process. Through prior Orders certifying wholesale to retail capacity</w:t>
      </w:r>
      <w:r w:rsidR="003F53A4">
        <w:t>,</w:t>
      </w:r>
      <w:r w:rsidRPr="001842BA">
        <w:t xml:space="preserve"> the Commission has exempted that capacity from the </w:t>
      </w:r>
      <w:r w:rsidR="007C4CE7" w:rsidRPr="001842BA">
        <w:t xml:space="preserve">Commission’s RFP </w:t>
      </w:r>
      <w:r w:rsidR="00947C6F">
        <w:t xml:space="preserve">rules </w:t>
      </w:r>
      <w:r w:rsidR="007C4CE7" w:rsidRPr="001842BA">
        <w:t xml:space="preserve">as </w:t>
      </w:r>
      <w:r w:rsidRPr="001842BA">
        <w:t>specified in Commission Rule 515-3-4-.04. Pursuant to Commission Rule 515-3-4-.04(3)(f)(5)</w:t>
      </w:r>
      <w:r w:rsidR="003F53A4">
        <w:t>,</w:t>
      </w:r>
      <w:r w:rsidRPr="001842BA">
        <w:t xml:space="preserve"> which exempts from the RFP requirement “any supply-side resource that would provide power at a capacity level of 30 MW or less</w:t>
      </w:r>
      <w:r w:rsidR="003F53A4">
        <w:t>,</w:t>
      </w:r>
      <w:r w:rsidRPr="001842BA">
        <w:t>” the Company request</w:t>
      </w:r>
      <w:r w:rsidR="00BB7FCB">
        <w:t>s</w:t>
      </w:r>
      <w:r w:rsidRPr="001842BA">
        <w:t xml:space="preserve"> that the</w:t>
      </w:r>
      <w:r w:rsidR="00DC5BE5">
        <w:t xml:space="preserve"> Plant</w:t>
      </w:r>
      <w:r w:rsidRPr="001842BA">
        <w:t xml:space="preserve"> Scherer Unit 3 offer of 25 MW of capacity be exempted as provided by Commission Rule.</w:t>
      </w:r>
    </w:p>
    <w:p w14:paraId="7AEB80A7" w14:textId="77777777" w:rsidR="00B24854" w:rsidRPr="00E33B8A" w:rsidRDefault="00B24854" w:rsidP="00B24854">
      <w:pPr>
        <w:pStyle w:val="Heading3"/>
      </w:pPr>
      <w:bookmarkStart w:id="284" w:name="_Ref530377758"/>
      <w:r w:rsidRPr="00E33B8A">
        <w:t>C</w:t>
      </w:r>
      <w:r>
        <w:t>onclusion</w:t>
      </w:r>
    </w:p>
    <w:p w14:paraId="37B386FC" w14:textId="60E9D860" w:rsidR="00B24854" w:rsidRDefault="00B24854" w:rsidP="00B24854">
      <w:r>
        <w:t xml:space="preserve">As set forth in the Company’s 2019 IRP, Georgia Power’s current supply-side plan, which incorporates the requested certification contained herein, is sufficient to provide cost-effective and reliable sources of capacity and energy for customers. The request contained in this 2019 Certification Application is in the public interest and substantially complies with the relevant Commission rules. Therefore, the Company requests that the Commission Accept and Certify this offer. </w:t>
      </w:r>
    </w:p>
    <w:p w14:paraId="65CD0E2F" w14:textId="77777777" w:rsidR="00A63672" w:rsidRDefault="00A63672" w:rsidP="00E33B8A">
      <w:pPr>
        <w:pStyle w:val="1B"/>
        <w:sectPr w:rsidR="00A63672" w:rsidSect="00A63672">
          <w:footerReference w:type="default" r:id="rId21"/>
          <w:type w:val="continuous"/>
          <w:pgSz w:w="12240" w:h="15840"/>
          <w:pgMar w:top="1440" w:right="1440" w:bottom="1440" w:left="1440" w:header="720" w:footer="432" w:gutter="0"/>
          <w:cols w:space="720"/>
          <w:docGrid w:linePitch="360"/>
        </w:sectPr>
      </w:pPr>
    </w:p>
    <w:p w14:paraId="671289FF" w14:textId="13E8D200" w:rsidR="003A2947" w:rsidRDefault="00FA3198" w:rsidP="00E33B8A">
      <w:pPr>
        <w:pStyle w:val="1B"/>
      </w:pPr>
      <w:bookmarkStart w:id="285" w:name="_Ref533152742"/>
      <w:bookmarkStart w:id="286" w:name="_Toc536209178"/>
      <w:r w:rsidRPr="00E33B8A">
        <w:t>APPLICATION FOR CERTIFICATION OF CAPACITY</w:t>
      </w:r>
      <w:bookmarkEnd w:id="284"/>
      <w:r w:rsidR="00F70735">
        <w:t xml:space="preserve"> UPGRADES AT PLANT GOAT ROCK UNITS </w:t>
      </w:r>
      <w:r w:rsidR="00E1459B">
        <w:t>9</w:t>
      </w:r>
      <w:r w:rsidR="005A4027">
        <w:t>-</w:t>
      </w:r>
      <w:r w:rsidR="00E1459B">
        <w:t>12</w:t>
      </w:r>
      <w:bookmarkEnd w:id="285"/>
      <w:bookmarkEnd w:id="286"/>
    </w:p>
    <w:p w14:paraId="304345B2" w14:textId="1329AA33" w:rsidR="00F70735" w:rsidRDefault="00F70735" w:rsidP="00F70735">
      <w:pPr>
        <w:pStyle w:val="Heading3"/>
      </w:pPr>
      <w:r>
        <w:t>Executive Summary</w:t>
      </w:r>
    </w:p>
    <w:p w14:paraId="1FD57BA2" w14:textId="407321B9" w:rsidR="00F70735" w:rsidRDefault="00F70735" w:rsidP="00F70735">
      <w:pPr>
        <w:pStyle w:val="Heading4"/>
      </w:pPr>
      <w:r>
        <w:t>Capacity Resources</w:t>
      </w:r>
    </w:p>
    <w:p w14:paraId="005ECED7" w14:textId="417D3745" w:rsidR="00F70735" w:rsidRDefault="00F70735" w:rsidP="00A5362B">
      <w:pPr>
        <w:keepNext/>
      </w:pPr>
      <w:bookmarkStart w:id="287" w:name="_Hlk532328231"/>
      <w:bookmarkStart w:id="288" w:name="_Hlk532328491"/>
      <w:r>
        <w:t xml:space="preserve">As discussed in </w:t>
      </w:r>
      <w:r w:rsidR="003F53A4">
        <w:fldChar w:fldCharType="begin"/>
      </w:r>
      <w:r w:rsidR="003F53A4">
        <w:instrText xml:space="preserve"> REF _Ref527048130 \n \h </w:instrText>
      </w:r>
      <w:r w:rsidR="003F53A4">
        <w:fldChar w:fldCharType="separate"/>
      </w:r>
      <w:r w:rsidR="00F33DA2">
        <w:t>CHAPTER 9</w:t>
      </w:r>
      <w:r w:rsidR="003F53A4">
        <w:fldChar w:fldCharType="end"/>
      </w:r>
      <w:r w:rsidR="003F53A4">
        <w:t xml:space="preserve"> of </w:t>
      </w:r>
      <w:r>
        <w:t>the 2019 IRP</w:t>
      </w:r>
      <w:r w:rsidR="003F53A4">
        <w:t xml:space="preserve"> Main Document</w:t>
      </w:r>
      <w:r>
        <w:t>, Georgia Power plans to make needed investments in its hydro fleet to maintain operation</w:t>
      </w:r>
      <w:r w:rsidR="006A2EC0">
        <w:t>s</w:t>
      </w:r>
      <w:r>
        <w:t xml:space="preserve"> for the benefit of customers. As part of this investment, the Company is replacing aging turbines at the Goat Rock </w:t>
      </w:r>
      <w:r w:rsidR="002B6402">
        <w:t xml:space="preserve">hydro </w:t>
      </w:r>
      <w:r>
        <w:t>facility with updated turbine technology.</w:t>
      </w:r>
      <w:r w:rsidR="00536FCF">
        <w:t xml:space="preserve"> The new turbine designs will have more capacity, higher efficiency, </w:t>
      </w:r>
      <w:r w:rsidR="00CA6915">
        <w:t>fewer</w:t>
      </w:r>
      <w:r w:rsidR="00536FCF">
        <w:t xml:space="preserve"> maintenance requirements, and easier, safer access for those maintenance needs. </w:t>
      </w:r>
      <w:r>
        <w:t xml:space="preserve">This upgrade to Goat Rock will </w:t>
      </w:r>
      <w:r w:rsidR="0082417E">
        <w:t xml:space="preserve">increase capacity </w:t>
      </w:r>
      <w:r w:rsidR="00E1459B">
        <w:t xml:space="preserve">from </w:t>
      </w:r>
      <w:r>
        <w:t>5 MW to</w:t>
      </w:r>
      <w:r w:rsidR="00E8792C">
        <w:t xml:space="preserve"> approximately</w:t>
      </w:r>
      <w:r>
        <w:t xml:space="preserve"> 9.6 MW for each of Units 3-6 </w:t>
      </w:r>
      <w:r w:rsidR="00BE1DA8" w:rsidRPr="00BE1DA8">
        <w:t>by the</w:t>
      </w:r>
      <w:r w:rsidRPr="00BE1DA8">
        <w:t xml:space="preserve"> summer of 2023</w:t>
      </w:r>
      <w:r w:rsidR="00680AEE">
        <w:t xml:space="preserve">. </w:t>
      </w:r>
      <w:r>
        <w:t xml:space="preserve">The total capacity of the entire Goat Rock </w:t>
      </w:r>
      <w:r w:rsidR="00284C3A">
        <w:t xml:space="preserve">hydro </w:t>
      </w:r>
      <w:r>
        <w:t>facility will grow from</w:t>
      </w:r>
      <w:r w:rsidR="00E8792C">
        <w:t xml:space="preserve"> approximately 39 MW</w:t>
      </w:r>
      <w:r w:rsidR="003A30C0">
        <w:t xml:space="preserve"> </w:t>
      </w:r>
      <w:r>
        <w:t xml:space="preserve">to approximately 57 MW serving customers, or nearly a 50 percent increase in capacity. </w:t>
      </w:r>
      <w:r w:rsidR="00E1459B">
        <w:t xml:space="preserve">As a result of the turbine replacements, Plant Goat Rock Units 3-6 will become Plant Goat Rock Units 9-12. </w:t>
      </w:r>
      <w:r>
        <w:t xml:space="preserve">To facilitate the needed upgrade to the Goat Rock </w:t>
      </w:r>
      <w:r w:rsidR="00284C3A">
        <w:t>hydro facility</w:t>
      </w:r>
      <w:r>
        <w:t xml:space="preserve">, the Company is seeking a Certificate Amendment as required </w:t>
      </w:r>
      <w:bookmarkEnd w:id="287"/>
      <w:r>
        <w:t>by</w:t>
      </w:r>
      <w:r w:rsidRPr="0014205F">
        <w:t xml:space="preserve"> </w:t>
      </w:r>
      <w:r w:rsidRPr="00B77339">
        <w:t xml:space="preserve">O.C.G.A. </w:t>
      </w:r>
      <w:r w:rsidRPr="00E775CA">
        <w:t>§</w:t>
      </w:r>
      <w:r w:rsidR="003311D3">
        <w:t> </w:t>
      </w:r>
      <w:r w:rsidR="00A5362B">
        <w:t xml:space="preserve">46-3A-3(b) </w:t>
      </w:r>
      <w:r>
        <w:t>and Commission Rule 515-3-4</w:t>
      </w:r>
      <w:r w:rsidR="00BB7FCB">
        <w:t>-</w:t>
      </w:r>
      <w:r>
        <w:t>.08</w:t>
      </w:r>
      <w:r w:rsidR="002B0775">
        <w:t>.</w:t>
      </w:r>
    </w:p>
    <w:bookmarkEnd w:id="288"/>
    <w:p w14:paraId="23AB1BD1" w14:textId="2E8B2912" w:rsidR="00F70735" w:rsidRDefault="00F70735" w:rsidP="00F70735">
      <w:r>
        <w:t xml:space="preserve">Increasing the capacity of Goat Rock </w:t>
      </w:r>
      <w:r w:rsidRPr="00B77339">
        <w:t xml:space="preserve">will assure a reliable supply of electric </w:t>
      </w:r>
      <w:r>
        <w:t>capacity</w:t>
      </w:r>
      <w:r w:rsidRPr="00B77339">
        <w:t xml:space="preserve"> and energy for the Company’s retail customers</w:t>
      </w:r>
      <w:r>
        <w:t>, while also resolving flow imbalance concerns on the Chattahoochee River. Currently, there is a flow imbalance in the Chattahoochee River hydro fleet</w:t>
      </w:r>
      <w:r w:rsidR="003311D3">
        <w:t xml:space="preserve"> that </w:t>
      </w:r>
      <w:r w:rsidRPr="00FE2448">
        <w:t xml:space="preserve">occurs </w:t>
      </w:r>
      <w:r w:rsidR="00BE1DA8" w:rsidRPr="00FE2448">
        <w:t>daily during peak periods</w:t>
      </w:r>
      <w:r w:rsidR="00680AEE" w:rsidRPr="00FE2448">
        <w:t>.</w:t>
      </w:r>
      <w:r w:rsidR="00680AEE">
        <w:t xml:space="preserve"> </w:t>
      </w:r>
      <w:r>
        <w:t>On the Chattahoochee River, Goat Rock Dam is situated downstream of Bartletts Ferry Dam (Lake Harding), and upstream of Oliver and North Highlands Dams; all are located upstream of the City of Columbus and provide peaking power. They also provide a minimum river flow through the Columbus downtown Riverwalk area. Bartletts Ferry, Oliver, and North Highlands Dams all discharge approximately 13,000 cubic feet per second (“cfs”), whereas Goat Rock can only discharge approximately 9,000 cfs at its present size. To accommodate the higher flow from Bartletts Ferry (flow imbalance), Georgia Power currently has to draw Goat Rock Lake down further each day. If the lake were not drawn down further each day, then during the next day’s peak, Goat Rock would be inundated with Bartletts Ferry peak power flows and would have to spill water, resulting in the spilled portion of the flow not generating power. Additionally, because Georgia Power has to run the units at Goat Rock longer each day to correct for the flow imbalance, the generation extends to non-peak power periods, which is not the most economic</w:t>
      </w:r>
      <w:r w:rsidR="001C2170">
        <w:t>al</w:t>
      </w:r>
      <w:r>
        <w:t xml:space="preserve"> use of the water.</w:t>
      </w:r>
    </w:p>
    <w:p w14:paraId="7656EAA7" w14:textId="365044EC" w:rsidR="00F70735" w:rsidRDefault="00F70735" w:rsidP="00F70735">
      <w:r>
        <w:t xml:space="preserve">Finally, in addition to resolving the issues caused by the flow imbalance the upgrade to Goat Rock will provide critical capacity and dynamic reactive support to the area’s transmission system, especially critical during peak power demand periods. </w:t>
      </w:r>
    </w:p>
    <w:p w14:paraId="3490F0C0" w14:textId="1DD6AF4C" w:rsidR="00F70735" w:rsidRDefault="00F70735" w:rsidP="00F70735">
      <w:pPr>
        <w:pStyle w:val="Heading3"/>
      </w:pPr>
      <w:r>
        <w:t xml:space="preserve">History of Capacity Resource Additions </w:t>
      </w:r>
    </w:p>
    <w:p w14:paraId="17286CE1" w14:textId="5CD53652" w:rsidR="00F70735" w:rsidRDefault="00F70735" w:rsidP="00F70735">
      <w:r>
        <w:t xml:space="preserve">Georgia Power’s Goat Rock </w:t>
      </w:r>
      <w:r w:rsidR="00284C3A">
        <w:t xml:space="preserve">hydro </w:t>
      </w:r>
      <w:r>
        <w:t xml:space="preserve">facility is located on the Chattahoochee River about 10 miles north of Columbus, Georgia. The dam and powerhouse were constructed during the period of 1910-1912. The powerhouse contains four horizontal, double-runner Francis turbines and two horizontal propeller turbines with a total capacity of </w:t>
      </w:r>
      <w:r w:rsidR="005A4027">
        <w:t>approximately 39</w:t>
      </w:r>
      <w:r>
        <w:t xml:space="preserve"> MW. Units 1 and 2, each rated at 3 MW, went into service in 1912. (These units were later renumbered to Units 7 and 8 when a capacity upgrade of 6 MW each was approved by the Commission in 2001.) </w:t>
      </w:r>
      <w:r w:rsidRPr="00E60A29">
        <w:t xml:space="preserve">Unit 3 came online in 1915, Unit 4 in </w:t>
      </w:r>
      <w:r w:rsidR="00E60A29" w:rsidRPr="00E60A29">
        <w:t>1920</w:t>
      </w:r>
      <w:r w:rsidR="00A5362B">
        <w:t>, Unit</w:t>
      </w:r>
      <w:r w:rsidRPr="00E60A29">
        <w:t xml:space="preserve"> 5</w:t>
      </w:r>
      <w:r w:rsidR="00E60A29" w:rsidRPr="00E60A29">
        <w:t xml:space="preserve"> in 1955,</w:t>
      </w:r>
      <w:r w:rsidRPr="00E60A29">
        <w:t xml:space="preserve"> and </w:t>
      </w:r>
      <w:r w:rsidR="00E60A29" w:rsidRPr="00E60A29">
        <w:t xml:space="preserve">Unit </w:t>
      </w:r>
      <w:r w:rsidRPr="00E60A29">
        <w:t>6 in 195</w:t>
      </w:r>
      <w:r w:rsidR="00E60A29" w:rsidRPr="00E60A29">
        <w:t>6</w:t>
      </w:r>
      <w:r w:rsidRPr="00E60A29">
        <w:t>.</w:t>
      </w:r>
      <w:r>
        <w:t xml:space="preserve"> The development is licensed as part of the Middle Chattahoochee Project, FERC Project No. 2177. The license for Plant Goat Rock and its sister developments, </w:t>
      </w:r>
      <w:r w:rsidR="00931603">
        <w:t xml:space="preserve">Plants </w:t>
      </w:r>
      <w:r>
        <w:t>Oliver and North Highlands, expires on December 26, 2034.</w:t>
      </w:r>
    </w:p>
    <w:p w14:paraId="04E5C125" w14:textId="4E98BEA8" w:rsidR="00F70735" w:rsidRPr="00B77339" w:rsidRDefault="00F70735" w:rsidP="00F70735">
      <w:r>
        <w:t xml:space="preserve">On </w:t>
      </w:r>
      <w:r w:rsidRPr="006A5A48">
        <w:t xml:space="preserve">December 13, 1971, Georgia Power filed an application with the Federal Power Commission (now FERC) to add two new 50 MW units at the Bartletts Ferry Project, FERC Project No. 485. Bartletts Ferry is located on the Chattahoochee River immediately upstream of the Goat Rock </w:t>
      </w:r>
      <w:r w:rsidR="00284C3A">
        <w:t>hydro f</w:t>
      </w:r>
      <w:r w:rsidRPr="006A5A48">
        <w:t>acility. At the time the application was filed, it was realized that construction of the two new units at Bartletts Ferry would result in a significant imbalance in flows when compared to the hydraulic capacity at Goat Rock. By letter dated March 13, 1972, FERC requested that G</w:t>
      </w:r>
      <w:r>
        <w:t xml:space="preserve">eorgia </w:t>
      </w:r>
      <w:r w:rsidRPr="006A5A48">
        <w:t>P</w:t>
      </w:r>
      <w:r>
        <w:t>ower</w:t>
      </w:r>
      <w:r w:rsidRPr="006A5A48">
        <w:t xml:space="preserve"> amend its license for Project 2177 to redevelop Goat Rock dam. </w:t>
      </w:r>
      <w:r>
        <w:t xml:space="preserve">FERC ultimately removed the requirement for Georgia Power to amend its license. However, Southern Company continued to investigate possibilities for redeveloping Plant Goat Rock, and on December 15, 2000, the Company filed an application for certification at the Commission for capacity upgrades for Plant Goat Rock Units 1 and 2. This solution improved the hydraulic imbalance with Plant Bartletts Ferry upstream and with Plants Oliver and North Highlands downstream while satisfying the letter and intent of prior FERC Orders. At a Special Administrative Session on July 12, 2001, the Commission granted the application for certification of the upgrades to the Goat Rock </w:t>
      </w:r>
      <w:r w:rsidR="00284C3A">
        <w:t>hydro f</w:t>
      </w:r>
      <w:r>
        <w:t xml:space="preserve">acility, which also resulted in the renumbering of Units 1 and 2 to Units 7 and 8. For </w:t>
      </w:r>
      <w:r w:rsidR="0056395F">
        <w:t>additional</w:t>
      </w:r>
      <w:r>
        <w:t xml:space="preserve"> details, see Docket No. 12499-U. With the </w:t>
      </w:r>
      <w:r w:rsidR="005A4027">
        <w:t xml:space="preserve">requested </w:t>
      </w:r>
      <w:r>
        <w:t xml:space="preserve">capacity upgrades at Plant Goat Rock Units </w:t>
      </w:r>
      <w:r w:rsidR="003419F1">
        <w:t>9-12</w:t>
      </w:r>
      <w:r>
        <w:t>, the Company will be able to fully resolve the flow imbalance concerns on the Chattahoochee River</w:t>
      </w:r>
      <w:r w:rsidR="002B0775">
        <w:t>.</w:t>
      </w:r>
    </w:p>
    <w:p w14:paraId="125B480B" w14:textId="05363192" w:rsidR="00F70735" w:rsidRDefault="00F70735" w:rsidP="00F70735">
      <w:pPr>
        <w:pStyle w:val="Heading4"/>
      </w:pPr>
      <w:r>
        <w:t>Cost Benefit Analysis</w:t>
      </w:r>
    </w:p>
    <w:p w14:paraId="7ECF8375" w14:textId="57BE8396" w:rsidR="00F70735" w:rsidRDefault="00F70735" w:rsidP="00F70735">
      <w:r>
        <w:t xml:space="preserve">As discussed </w:t>
      </w:r>
      <w:r w:rsidR="006A2EC0">
        <w:t>above</w:t>
      </w:r>
      <w:r>
        <w:t>, the upgrades will correct a flow imbalance in the Chattahoochee River hydro fleet</w:t>
      </w:r>
      <w:r w:rsidR="003311D3">
        <w:t>,</w:t>
      </w:r>
      <w:r>
        <w:t xml:space="preserve"> which is currently being addressed through operating guidelines. As such, increasing the capacity of the units will make daily operations more economical. </w:t>
      </w:r>
      <w:r w:rsidR="003311D3">
        <w:t>I</w:t>
      </w:r>
      <w:r>
        <w:t xml:space="preserve">n addition to providing critical support to the area’s transmission system, these units </w:t>
      </w:r>
      <w:r w:rsidR="00620605">
        <w:t xml:space="preserve">provide peaking power as </w:t>
      </w:r>
      <w:r>
        <w:t>well as provide a minimum river flow through the Columbus downtown Riverwalk area. As the Georgia Power fleet continues to transition, maintaining fuel diversity will be critical</w:t>
      </w:r>
      <w:r w:rsidR="003311D3">
        <w:t>,</w:t>
      </w:r>
      <w:r>
        <w:t xml:space="preserve"> and it </w:t>
      </w:r>
      <w:r w:rsidR="003311D3">
        <w:t xml:space="preserve">is </w:t>
      </w:r>
      <w:r>
        <w:t xml:space="preserve">important to continue investment in the Company’s </w:t>
      </w:r>
      <w:r w:rsidR="00284C3A">
        <w:t xml:space="preserve">hydro </w:t>
      </w:r>
      <w:r>
        <w:t>generating resources. Investing in the</w:t>
      </w:r>
      <w:r w:rsidR="00536FCF">
        <w:t>se</w:t>
      </w:r>
      <w:r>
        <w:t xml:space="preserve"> capacity upgrades is a key piece of that strategy, as outlined in </w:t>
      </w:r>
      <w:r w:rsidR="003311D3">
        <w:t>this</w:t>
      </w:r>
      <w:r>
        <w:t xml:space="preserve"> 2019 IRP.</w:t>
      </w:r>
    </w:p>
    <w:p w14:paraId="79F327A5" w14:textId="269C3363" w:rsidR="00F70735" w:rsidRPr="005918FE" w:rsidRDefault="000C34D6" w:rsidP="00F70735">
      <w:r>
        <w:t>U</w:t>
      </w:r>
      <w:r w:rsidR="00F70735">
        <w:t xml:space="preserve">pgrading Goat Rock Units </w:t>
      </w:r>
      <w:r w:rsidR="00536FCF">
        <w:t>3</w:t>
      </w:r>
      <w:r w:rsidR="003419F1">
        <w:t>-</w:t>
      </w:r>
      <w:r w:rsidR="00536FCF">
        <w:t xml:space="preserve">6 </w:t>
      </w:r>
      <w:r w:rsidR="00F70735">
        <w:t>will provide many needed benefits for customers as articulated in the foregoing sections</w:t>
      </w:r>
      <w:r w:rsidR="001914C5">
        <w:t>.</w:t>
      </w:r>
      <w:r>
        <w:t xml:space="preserve"> </w:t>
      </w:r>
      <w:r w:rsidR="001914C5">
        <w:t>T</w:t>
      </w:r>
      <w:r w:rsidR="00F70735">
        <w:t xml:space="preserve">he economics of the project are shown in </w:t>
      </w:r>
      <w:r w:rsidR="008A66A0">
        <w:t>Selected Supporting information</w:t>
      </w:r>
      <w:r w:rsidR="00F70735">
        <w:t xml:space="preserve"> found in Technical Appendix Volume </w:t>
      </w:r>
      <w:r w:rsidR="008A66A0">
        <w:t>1</w:t>
      </w:r>
      <w:r w:rsidR="001914C5">
        <w:t xml:space="preserve"> and</w:t>
      </w:r>
      <w:r>
        <w:t xml:space="preserve"> </w:t>
      </w:r>
      <w:r w:rsidR="00F70735">
        <w:t>must be considered against the broader need to correct the flow imbalance</w:t>
      </w:r>
      <w:r w:rsidR="00A51B6A">
        <w:t xml:space="preserve">, preserve </w:t>
      </w:r>
      <w:r w:rsidR="00F70735">
        <w:t>ongoing fuel diversity</w:t>
      </w:r>
      <w:r w:rsidR="00A51B6A">
        <w:t>,</w:t>
      </w:r>
      <w:r w:rsidR="006A2EC0">
        <w:t xml:space="preserve"> and </w:t>
      </w:r>
      <w:r w:rsidR="00A51B6A">
        <w:t xml:space="preserve">improve </w:t>
      </w:r>
      <w:r w:rsidR="006A2EC0">
        <w:t>resource flexibility</w:t>
      </w:r>
      <w:r w:rsidR="00F70735">
        <w:t xml:space="preserve"> provided by maintaining these critical resources to serve customers.</w:t>
      </w:r>
      <w:r w:rsidR="001734DD">
        <w:t xml:space="preserve"> </w:t>
      </w:r>
      <w:r w:rsidR="00F70735">
        <w:t xml:space="preserve">For information on the costs and benefits associated with the capacity upgrades at the Goat Rock </w:t>
      </w:r>
      <w:r w:rsidR="00284C3A">
        <w:t>hydro f</w:t>
      </w:r>
      <w:r w:rsidR="00F70735">
        <w:t xml:space="preserve">acility, see the </w:t>
      </w:r>
      <w:r w:rsidR="000B0868">
        <w:t xml:space="preserve">Selected Supporting Information section of </w:t>
      </w:r>
      <w:r w:rsidR="00F70735">
        <w:t xml:space="preserve">Technical Appendix Volume </w:t>
      </w:r>
      <w:r w:rsidR="000B0868">
        <w:t>1</w:t>
      </w:r>
      <w:r w:rsidR="00680AEE">
        <w:t xml:space="preserve">. </w:t>
      </w:r>
    </w:p>
    <w:p w14:paraId="643C2254" w14:textId="131C1D53" w:rsidR="00F70735" w:rsidRDefault="00F70735" w:rsidP="00F70735">
      <w:pPr>
        <w:pStyle w:val="Heading4"/>
      </w:pPr>
      <w:r>
        <w:t xml:space="preserve">Proposed Ratemaking Treatment </w:t>
      </w:r>
    </w:p>
    <w:p w14:paraId="0A6525D7" w14:textId="148A40B5" w:rsidR="00F70735" w:rsidRDefault="00F70735" w:rsidP="00F70735">
      <w:r w:rsidRPr="001F0F9A">
        <w:t xml:space="preserve">The capacity upgrades at the Goat Rock </w:t>
      </w:r>
      <w:r w:rsidR="00284C3A">
        <w:t>hydro</w:t>
      </w:r>
      <w:r w:rsidR="00284C3A" w:rsidRPr="001F0F9A">
        <w:t xml:space="preserve"> </w:t>
      </w:r>
      <w:r w:rsidR="00284C3A">
        <w:t>f</w:t>
      </w:r>
      <w:r w:rsidRPr="001F0F9A">
        <w:t xml:space="preserve">acility will be recovered through traditional (rate base and revenue requirement) ratemaking, similar to the existing Goat Rock </w:t>
      </w:r>
      <w:r w:rsidR="00284C3A">
        <w:t>hydro</w:t>
      </w:r>
      <w:r w:rsidR="00284C3A" w:rsidRPr="001F0F9A">
        <w:t xml:space="preserve"> </w:t>
      </w:r>
      <w:r w:rsidR="00284C3A">
        <w:t>f</w:t>
      </w:r>
      <w:r w:rsidRPr="001F0F9A">
        <w:t>acility.</w:t>
      </w:r>
    </w:p>
    <w:p w14:paraId="56C09C9B" w14:textId="77777777" w:rsidR="00D66D10" w:rsidRDefault="00D66D10" w:rsidP="00D66D10">
      <w:pPr>
        <w:pStyle w:val="Heading4"/>
      </w:pPr>
      <w:r>
        <w:t>Analysis of Transmission Impacts</w:t>
      </w:r>
    </w:p>
    <w:p w14:paraId="3644C030" w14:textId="77777777" w:rsidR="00D66D10" w:rsidRPr="009C650A" w:rsidRDefault="00D66D10" w:rsidP="00D66D10">
      <w:r>
        <w:t>There are no transmission facilities added, modified, or avoided as a result of this certification request.</w:t>
      </w:r>
    </w:p>
    <w:p w14:paraId="68C548DE" w14:textId="1608363D" w:rsidR="00F70735" w:rsidRDefault="00F70735" w:rsidP="00F70735">
      <w:pPr>
        <w:pStyle w:val="Heading4"/>
      </w:pPr>
      <w:r>
        <w:t>Impact on 2019 IRP</w:t>
      </w:r>
    </w:p>
    <w:p w14:paraId="51B12511" w14:textId="398030F5" w:rsidR="00F70735" w:rsidRDefault="00F70735" w:rsidP="00F70735">
      <w:r>
        <w:t xml:space="preserve">The capacity at Plant Goat Rock Units </w:t>
      </w:r>
      <w:r w:rsidR="00AE3992">
        <w:t>9-12</w:t>
      </w:r>
      <w:r>
        <w:t xml:space="preserve"> is reflected in the various analyses presented in the 2019 IRP</w:t>
      </w:r>
      <w:r w:rsidR="00680AEE">
        <w:t>.</w:t>
      </w:r>
    </w:p>
    <w:p w14:paraId="7039D4EC" w14:textId="77777777" w:rsidR="00616D5C" w:rsidRPr="00E33B8A" w:rsidRDefault="00616D5C" w:rsidP="00616D5C">
      <w:pPr>
        <w:pStyle w:val="Heading3"/>
      </w:pPr>
      <w:r w:rsidRPr="00E33B8A">
        <w:t>C</w:t>
      </w:r>
      <w:r>
        <w:t>onclusion</w:t>
      </w:r>
    </w:p>
    <w:p w14:paraId="625C76A2" w14:textId="043C8A39" w:rsidR="00616D5C" w:rsidRDefault="00616D5C" w:rsidP="00616D5C">
      <w:r>
        <w:t xml:space="preserve">As set forth in the Company’s 2019 IRP, Georgia Power’s current supply-side plan, which incorporates the requested certification contained herein, is sufficient to provide cost-effective and reliable sources of capacity and energy for customers. The request contained in this 2019 Certification Application </w:t>
      </w:r>
      <w:r w:rsidR="00B24854">
        <w:t xml:space="preserve">is in </w:t>
      </w:r>
      <w:r>
        <w:t>the public interest and substantially compl</w:t>
      </w:r>
      <w:r w:rsidR="00B24854">
        <w:t>ies</w:t>
      </w:r>
      <w:r>
        <w:t xml:space="preserve"> with the relevant Commission rules. Therefore, the Company requests that the Commission approve this </w:t>
      </w:r>
      <w:r w:rsidR="00B24854">
        <w:t>Certificate Amendment</w:t>
      </w:r>
      <w:r>
        <w:t>.</w:t>
      </w:r>
      <w:r w:rsidR="00B24854">
        <w:t xml:space="preserve"> </w:t>
      </w:r>
    </w:p>
    <w:p w14:paraId="0011426C" w14:textId="7FC68F77" w:rsidR="00EA6491" w:rsidRDefault="00EA6491" w:rsidP="00616D5C">
      <w:pPr>
        <w:rPr>
          <w:rFonts w:eastAsiaTheme="majorEastAsia" w:cstheme="majorBidi"/>
          <w:b/>
          <w:color w:val="005D8A" w:themeColor="accent2" w:themeShade="BF"/>
          <w:sz w:val="24"/>
          <w:szCs w:val="26"/>
          <w:highlight w:val="lightGray"/>
          <w14:scene3d>
            <w14:camera w14:prst="orthographicFront"/>
            <w14:lightRig w14:rig="threePt" w14:dir="t">
              <w14:rot w14:lat="0" w14:lon="0" w14:rev="0"/>
            </w14:lightRig>
          </w14:scene3d>
        </w:rPr>
      </w:pPr>
      <w:r>
        <w:rPr>
          <w:caps/>
          <w:highlight w:val="lightGray"/>
          <w14:scene3d>
            <w14:camera w14:prst="orthographicFront"/>
            <w14:lightRig w14:rig="threePt" w14:dir="t">
              <w14:rot w14:lat="0" w14:lon="0" w14:rev="0"/>
            </w14:lightRig>
          </w14:scene3d>
        </w:rPr>
        <w:br w:type="page"/>
      </w:r>
    </w:p>
    <w:p w14:paraId="2A46E148" w14:textId="77777777" w:rsidR="00A63672" w:rsidRDefault="00A63672" w:rsidP="00E33B8A">
      <w:pPr>
        <w:pStyle w:val="1B"/>
        <w:sectPr w:rsidR="00A63672" w:rsidSect="00A63672">
          <w:footerReference w:type="default" r:id="rId22"/>
          <w:type w:val="continuous"/>
          <w:pgSz w:w="12240" w:h="15840"/>
          <w:pgMar w:top="1440" w:right="1440" w:bottom="1440" w:left="1440" w:header="720" w:footer="432" w:gutter="0"/>
          <w:cols w:space="720"/>
          <w:docGrid w:linePitch="360"/>
        </w:sectPr>
      </w:pPr>
    </w:p>
    <w:p w14:paraId="26638AB5" w14:textId="06A60628" w:rsidR="00EA6491" w:rsidRPr="00E33B8A" w:rsidRDefault="00EA6491" w:rsidP="00E33B8A">
      <w:pPr>
        <w:pStyle w:val="1B"/>
      </w:pPr>
      <w:bookmarkStart w:id="289" w:name="_Toc536209179"/>
      <w:r w:rsidRPr="00E33B8A">
        <w:t>APPLICATION FOR DECERTIFICATION OF PLANT HAMMOND UNITS 1-4, PLANT MCINTOSH UNIT 1, PLANT ESTATOAH UNIT 1, PLANT LANGDALE UNITS 5</w:t>
      </w:r>
      <w:r w:rsidR="00A10215">
        <w:t>-</w:t>
      </w:r>
      <w:r w:rsidRPr="00E33B8A">
        <w:t>6, AND PLANT RIVERVIEW UNITS 1</w:t>
      </w:r>
      <w:r w:rsidR="00A10215">
        <w:t>-</w:t>
      </w:r>
      <w:r w:rsidRPr="00E33B8A">
        <w:t>2</w:t>
      </w:r>
      <w:bookmarkEnd w:id="289"/>
    </w:p>
    <w:p w14:paraId="21B27190" w14:textId="714C2715" w:rsidR="00EA6491" w:rsidRPr="00E33B8A" w:rsidRDefault="00E33B8A" w:rsidP="008B5F0B">
      <w:pPr>
        <w:pStyle w:val="Heading3"/>
      </w:pPr>
      <w:r>
        <w:t>Introduction</w:t>
      </w:r>
    </w:p>
    <w:p w14:paraId="55BB59E2" w14:textId="67903C5B" w:rsidR="00EA6491" w:rsidRDefault="003311D3" w:rsidP="00E33B8A">
      <w:r>
        <w:t>Together with the 2019 IRP</w:t>
      </w:r>
      <w:r w:rsidR="00EA6491">
        <w:t>, the Company hereby files this Application for Decertification of Plant Hammond Units 1-4, Plant McIntosh Unit 1, Plant Estatoah Unit 1, Plant Langdale Units 5</w:t>
      </w:r>
      <w:r w:rsidR="00500F24">
        <w:t>-</w:t>
      </w:r>
      <w:r w:rsidR="00EA6491">
        <w:t>6, and Plant Riverview Units 1</w:t>
      </w:r>
      <w:r w:rsidR="00500F24">
        <w:t>-</w:t>
      </w:r>
      <w:r w:rsidR="00EA6491">
        <w:t>2 (“2019 Decertification Application”) pursuant to O.C.G.A</w:t>
      </w:r>
      <w:r>
        <w:t>. § 46-3A-3 and Commission Rule</w:t>
      </w:r>
      <w:r w:rsidR="00EA6491">
        <w:t xml:space="preserve"> 515-3-4-.08. The units presented for decertification represent 983 megawatts (“MW”) of generating capacity. The Company hereby incorporates by reference all other portions of the Company’s 2019 IRP filing into this 2019 Decertification Application</w:t>
      </w:r>
      <w:r w:rsidR="002B0775">
        <w:t>.</w:t>
      </w:r>
    </w:p>
    <w:p w14:paraId="0F741244" w14:textId="2183AACC" w:rsidR="00EA6491" w:rsidRPr="00E33B8A" w:rsidRDefault="00E33B8A" w:rsidP="008B5F0B">
      <w:pPr>
        <w:pStyle w:val="Heading3"/>
      </w:pPr>
      <w:r>
        <w:t>Decertification Requests</w:t>
      </w:r>
    </w:p>
    <w:p w14:paraId="72ED620A" w14:textId="442C1E19" w:rsidR="00EA6491" w:rsidRPr="00E33B8A" w:rsidRDefault="00EA6491" w:rsidP="008B5F0B">
      <w:pPr>
        <w:pStyle w:val="Heading4"/>
      </w:pPr>
      <w:r w:rsidRPr="00E33B8A">
        <w:t xml:space="preserve">Need for Decertification </w:t>
      </w:r>
    </w:p>
    <w:p w14:paraId="17D70156" w14:textId="7FC80696" w:rsidR="00EA6491" w:rsidRDefault="00EA6491" w:rsidP="00E33B8A">
      <w:r>
        <w:t xml:space="preserve">As described in </w:t>
      </w:r>
      <w:r w:rsidR="00EF39CC">
        <w:fldChar w:fldCharType="begin"/>
      </w:r>
      <w:r w:rsidR="00EF39CC">
        <w:instrText xml:space="preserve"> REF _Ref533163242 \r \h </w:instrText>
      </w:r>
      <w:r w:rsidR="00EF39CC">
        <w:fldChar w:fldCharType="separate"/>
      </w:r>
      <w:r w:rsidR="00F33DA2">
        <w:t>CHAPTER 1</w:t>
      </w:r>
      <w:r w:rsidR="00EF39CC">
        <w:fldChar w:fldCharType="end"/>
      </w:r>
      <w:r>
        <w:t xml:space="preserve">, </w:t>
      </w:r>
      <w:r w:rsidR="00B05B41">
        <w:fldChar w:fldCharType="begin"/>
      </w:r>
      <w:r w:rsidR="00B05B41">
        <w:instrText xml:space="preserve"> REF _Ref527048130 \r \h </w:instrText>
      </w:r>
      <w:r w:rsidR="00B05B41">
        <w:fldChar w:fldCharType="separate"/>
      </w:r>
      <w:r w:rsidR="00F33DA2">
        <w:t>CHAPTER 9</w:t>
      </w:r>
      <w:r w:rsidR="00B05B41">
        <w:fldChar w:fldCharType="end"/>
      </w:r>
      <w:r>
        <w:t xml:space="preserve">, and </w:t>
      </w:r>
      <w:r w:rsidR="00B05B41">
        <w:fldChar w:fldCharType="begin"/>
      </w:r>
      <w:r w:rsidR="00B05B41">
        <w:instrText xml:space="preserve"> REF _Ref531354561 \r \h </w:instrText>
      </w:r>
      <w:r w:rsidR="00B05B41">
        <w:fldChar w:fldCharType="separate"/>
      </w:r>
      <w:r w:rsidR="00F33DA2">
        <w:t>CHAPTER 10</w:t>
      </w:r>
      <w:r w:rsidR="00B05B41">
        <w:fldChar w:fldCharType="end"/>
      </w:r>
      <w:r>
        <w:t xml:space="preserve"> of the </w:t>
      </w:r>
      <w:r w:rsidR="00500F24">
        <w:t xml:space="preserve">IRP </w:t>
      </w:r>
      <w:r>
        <w:t>Main Document, retirement and decertification is the most cost-effective approach for Plant Hammond Units 1-4, Plant McIntosh Unit 1, Plant Estatoah Unit 1, Plant Langdale Units 5</w:t>
      </w:r>
      <w:r w:rsidR="00D423F0">
        <w:t>-</w:t>
      </w:r>
      <w:r>
        <w:t>6, and Plant Riverview Units 1</w:t>
      </w:r>
      <w:r w:rsidR="00D423F0">
        <w:t>-</w:t>
      </w:r>
      <w:r>
        <w:t>2. While these units have provided benefit</w:t>
      </w:r>
      <w:r w:rsidR="00D423F0">
        <w:t>s</w:t>
      </w:r>
      <w:r>
        <w:t xml:space="preserve"> to customers over the years, the analysis </w:t>
      </w:r>
      <w:r w:rsidR="00D423F0">
        <w:t xml:space="preserve">provided in </w:t>
      </w:r>
      <w:r w:rsidR="000B0868">
        <w:t xml:space="preserve">the </w:t>
      </w:r>
      <w:r w:rsidR="00CC0B48">
        <w:t>Unit Retirement Study in</w:t>
      </w:r>
      <w:r w:rsidR="000B0868">
        <w:t xml:space="preserve"> </w:t>
      </w:r>
      <w:r w:rsidR="00D423F0">
        <w:t xml:space="preserve">Technical Appendix Volume </w:t>
      </w:r>
      <w:r w:rsidR="000370C8">
        <w:t xml:space="preserve">2 </w:t>
      </w:r>
      <w:r>
        <w:t>demonstrates that retirement of these units at this time is in the best interest of all customers</w:t>
      </w:r>
      <w:r w:rsidR="00680AEE">
        <w:t xml:space="preserve">. </w:t>
      </w:r>
    </w:p>
    <w:p w14:paraId="2E5B02B4" w14:textId="102210ED" w:rsidR="00EA6491" w:rsidRDefault="00EA6491" w:rsidP="00E33B8A">
      <w:r>
        <w:t xml:space="preserve">Plant Hammond Units 1-3 are coal-fired units that were placed in service at various times between 1954 and 1955, each </w:t>
      </w:r>
      <w:r w:rsidR="003311D3">
        <w:t xml:space="preserve">with </w:t>
      </w:r>
      <w:r>
        <w:t>a generating capacity of 110 MW. Plant Hammond Unit 4, with a generating capacity of 510 MW, was placed in service in 1970. Plant McIntosh Unit 1 has a capacity of 142.5 MW and was placed in service in 1979. Plant Estatoah Unit 1 is a 100</w:t>
      </w:r>
      <w:r w:rsidR="008B5D5F">
        <w:t>-</w:t>
      </w:r>
      <w:r>
        <w:t xml:space="preserve">kW </w:t>
      </w:r>
      <w:r w:rsidR="00284C3A">
        <w:t xml:space="preserve">hydro </w:t>
      </w:r>
      <w:r>
        <w:t>generating unit built in 1929 and acquired by Georgia Power in 1960. Plant Langdale Units 5</w:t>
      </w:r>
      <w:r w:rsidR="001B4CB8">
        <w:t>-</w:t>
      </w:r>
      <w:r>
        <w:t xml:space="preserve">6 are </w:t>
      </w:r>
      <w:r w:rsidR="00284C3A">
        <w:t xml:space="preserve">hydro </w:t>
      </w:r>
      <w:r>
        <w:t xml:space="preserve">generating units built in </w:t>
      </w:r>
      <w:r w:rsidR="003311D3">
        <w:t xml:space="preserve">1908, </w:t>
      </w:r>
      <w:r>
        <w:t xml:space="preserve">with a </w:t>
      </w:r>
      <w:r w:rsidR="00500F24">
        <w:t xml:space="preserve">combined </w:t>
      </w:r>
      <w:r>
        <w:t>capacity of 200 kW. Plant Riverview Units 1</w:t>
      </w:r>
      <w:r w:rsidR="001B4CB8">
        <w:t>-</w:t>
      </w:r>
      <w:r>
        <w:t xml:space="preserve">2, also </w:t>
      </w:r>
      <w:r w:rsidR="00284C3A">
        <w:t xml:space="preserve">hydro </w:t>
      </w:r>
      <w:r>
        <w:t xml:space="preserve">generating facilities, have a </w:t>
      </w:r>
      <w:r w:rsidR="00500F24">
        <w:t xml:space="preserve">combined </w:t>
      </w:r>
      <w:r>
        <w:t>capacity of 100 kW and were built in 1918. The Plant Langdale and Plant Riverview units were acquired by the Company in 1930. The economic analyses for Plant Hammond Units 1-4 and Plant McIntosh Unit 1 are contained in the Unit Retirement Study in Technical Appendix Volume 2. The analysis for each plant shows that continued operations is not in the best interest of customers. Similarly, the Unit Retirement Study contain</w:t>
      </w:r>
      <w:r w:rsidR="00727AC2">
        <w:t>s</w:t>
      </w:r>
      <w:r>
        <w:t xml:space="preserve"> the economic analys</w:t>
      </w:r>
      <w:r w:rsidR="00727AC2">
        <w:t>e</w:t>
      </w:r>
      <w:r>
        <w:t>s for Plant Estatoah Unit 1, Plant Langdale Units 5</w:t>
      </w:r>
      <w:r w:rsidR="001B4CB8">
        <w:t>-</w:t>
      </w:r>
      <w:r>
        <w:t>6, and Plant Riverview Units 1</w:t>
      </w:r>
      <w:r w:rsidR="001B4CB8">
        <w:t>-</w:t>
      </w:r>
      <w:r>
        <w:t>2, respectively, which shows that decertification of these units is in the best interest of customers.</w:t>
      </w:r>
    </w:p>
    <w:p w14:paraId="748391A6" w14:textId="74CECAF3" w:rsidR="00EA6491" w:rsidRPr="00E33B8A" w:rsidRDefault="00EA6491" w:rsidP="008B5F0B">
      <w:pPr>
        <w:pStyle w:val="Heading4"/>
      </w:pPr>
      <w:r w:rsidRPr="00E33B8A">
        <w:t>Analysis of Transmission Impacts</w:t>
      </w:r>
    </w:p>
    <w:p w14:paraId="1BDD194B" w14:textId="77777777" w:rsidR="00162428" w:rsidRDefault="00162428" w:rsidP="00162428">
      <w:r>
        <w:t xml:space="preserve">In accordance with the Commission’s order in Docket No. 31081, the Company performed an analysis of the results of the requested decertifications on transmission facilities. There are no transmission facilities added, modified, or avoided as a result of this decertification request. </w:t>
      </w:r>
    </w:p>
    <w:p w14:paraId="60A266D2" w14:textId="72579196" w:rsidR="00EA6491" w:rsidRPr="00E33B8A" w:rsidRDefault="00EA6491" w:rsidP="008B5F0B">
      <w:pPr>
        <w:pStyle w:val="Heading4"/>
      </w:pPr>
      <w:r w:rsidRPr="00E33B8A">
        <w:t>Cost Recovery</w:t>
      </w:r>
    </w:p>
    <w:p w14:paraId="514F71A9" w14:textId="7C19D449" w:rsidR="00EA6491" w:rsidRDefault="00EA6491" w:rsidP="00E33B8A">
      <w:r>
        <w:t>In connection wi</w:t>
      </w:r>
      <w:r w:rsidR="00F10120">
        <w:t>th the proposed decertification</w:t>
      </w:r>
      <w:r>
        <w:t xml:space="preserve">s, the Company requests that the Commission approve the following: </w:t>
      </w:r>
    </w:p>
    <w:p w14:paraId="436879FD" w14:textId="365577D2" w:rsidR="00EA6491" w:rsidRPr="00E33B8A" w:rsidRDefault="00EA6491" w:rsidP="00DD00CB">
      <w:pPr>
        <w:pStyle w:val="ListParagraph"/>
        <w:numPr>
          <w:ilvl w:val="0"/>
          <w:numId w:val="26"/>
        </w:numPr>
        <w:contextualSpacing w:val="0"/>
      </w:pPr>
      <w:bookmarkStart w:id="290" w:name="_Hlk531958755"/>
      <w:r w:rsidRPr="00E33B8A">
        <w:t>Reclassification of the remaining net book value of Plant Hammond Units 1-4 as of their respective retirement dates to regulatory asset accounts and the amortization of such regulatory asset accounts ratably over a period equal to the respective units</w:t>
      </w:r>
      <w:r w:rsidR="006C19C6">
        <w:t>’</w:t>
      </w:r>
      <w:r w:rsidRPr="00E33B8A">
        <w:t xml:space="preserve"> remaining useful li</w:t>
      </w:r>
      <w:r w:rsidR="006C19C6">
        <w:t>v</w:t>
      </w:r>
      <w:r w:rsidR="005347D0" w:rsidRPr="00E33B8A">
        <w:t>e</w:t>
      </w:r>
      <w:r w:rsidR="006C19C6">
        <w:t>s</w:t>
      </w:r>
      <w:r w:rsidR="005347D0" w:rsidRPr="00E33B8A">
        <w:t xml:space="preserve"> approved in Docket No. 36989</w:t>
      </w:r>
      <w:r w:rsidR="003311D3">
        <w:t>;</w:t>
      </w:r>
    </w:p>
    <w:p w14:paraId="7B26C2E8" w14:textId="75889257" w:rsidR="00EA6491" w:rsidRPr="00E33B8A" w:rsidRDefault="00EA6491" w:rsidP="00DD00CB">
      <w:pPr>
        <w:pStyle w:val="ListParagraph"/>
        <w:numPr>
          <w:ilvl w:val="0"/>
          <w:numId w:val="26"/>
        </w:numPr>
        <w:contextualSpacing w:val="0"/>
      </w:pPr>
      <w:r w:rsidRPr="00E33B8A">
        <w:t xml:space="preserve">Reclassification of the remaining net book value of </w:t>
      </w:r>
      <w:r w:rsidR="00852D38">
        <w:t xml:space="preserve">Plant McIntosh Unit 1, </w:t>
      </w:r>
      <w:r w:rsidRPr="00E33B8A">
        <w:t>Plant Estatoah U</w:t>
      </w:r>
      <w:r w:rsidR="005347D0" w:rsidRPr="00E33B8A">
        <w:t>nit 1, Plant Langdale Units 5-</w:t>
      </w:r>
      <w:r w:rsidRPr="00E33B8A">
        <w:t>6, and Plant R</w:t>
      </w:r>
      <w:r w:rsidR="005347D0" w:rsidRPr="00E33B8A">
        <w:t>iverview Units 1-</w:t>
      </w:r>
      <w:r w:rsidRPr="00E33B8A">
        <w:t>2 as of their respective retirement dates to regulatory asset accounts and the amortization of such regulatory asset accounts ratably over a</w:t>
      </w:r>
      <w:r w:rsidR="005347D0" w:rsidRPr="00E33B8A">
        <w:t xml:space="preserve"> 3-year period in the next base rate</w:t>
      </w:r>
      <w:r w:rsidR="00343810">
        <w:t xml:space="preserve"> case</w:t>
      </w:r>
      <w:r w:rsidRPr="00E33B8A">
        <w:t>; and</w:t>
      </w:r>
    </w:p>
    <w:p w14:paraId="41A0A16D" w14:textId="744E0607" w:rsidR="00EA6491" w:rsidRPr="00E33B8A" w:rsidRDefault="00852D38" w:rsidP="00DD00CB">
      <w:pPr>
        <w:pStyle w:val="ListParagraph"/>
        <w:numPr>
          <w:ilvl w:val="0"/>
          <w:numId w:val="26"/>
        </w:numPr>
      </w:pPr>
      <w:r w:rsidRPr="009674F5">
        <w:t>Reclassification of any unusable material and supplies inventory balance remaining at the unit retirement dates to a regulatory asset</w:t>
      </w:r>
      <w:r w:rsidRPr="00F03FC8">
        <w:t xml:space="preserve"> </w:t>
      </w:r>
      <w:r w:rsidRPr="009674F5">
        <w:t>for recovery over a period to be determined by the Commission in th</w:t>
      </w:r>
      <w:r>
        <w:t>e Company’s next base rate case, consistent with treatment of such balance in the 2016 IRP Order</w:t>
      </w:r>
      <w:r w:rsidR="00EA6491" w:rsidRPr="00E33B8A">
        <w:t>.</w:t>
      </w:r>
    </w:p>
    <w:bookmarkEnd w:id="290"/>
    <w:p w14:paraId="533BE611" w14:textId="77777777" w:rsidR="003311D3" w:rsidRPr="00E33B8A" w:rsidRDefault="003311D3" w:rsidP="003311D3">
      <w:pPr>
        <w:pStyle w:val="Heading3"/>
      </w:pPr>
      <w:r w:rsidRPr="00E33B8A">
        <w:t>C</w:t>
      </w:r>
      <w:r>
        <w:t>onclusion</w:t>
      </w:r>
    </w:p>
    <w:p w14:paraId="2082C719" w14:textId="66B930D1" w:rsidR="00EA6491" w:rsidRDefault="00EA6491" w:rsidP="00E33B8A">
      <w:r>
        <w:t xml:space="preserve">As set forth in the Company’s 2019 IRP, Georgia Power’s current supply-side plan, which incorporates the requested </w:t>
      </w:r>
      <w:r w:rsidR="009E1F34">
        <w:t>decertification</w:t>
      </w:r>
      <w:r w:rsidR="005347D0">
        <w:t>s</w:t>
      </w:r>
      <w:r>
        <w:t xml:space="preserve"> contained herein, is sufficient to provide cost-effective and reliable sources of capacity and energy for customers. The known and reasonably expected effects of these retirements on the Company’s 2019 IRP are described more fully in the</w:t>
      </w:r>
      <w:r w:rsidR="00500F24">
        <w:t xml:space="preserve"> IRP</w:t>
      </w:r>
      <w:r>
        <w:t xml:space="preserve"> Main Document and the Technical Appendices. The requests contained in this 2019 Decertification Application are in the public interest and substantially comply with the relevant Commission rules</w:t>
      </w:r>
      <w:r w:rsidR="00680AEE">
        <w:t xml:space="preserve">. </w:t>
      </w:r>
      <w:r>
        <w:t>Therefore, the Company requests that the Commissi</w:t>
      </w:r>
      <w:r w:rsidR="002B0775">
        <w:t>on approve the following:</w:t>
      </w:r>
    </w:p>
    <w:p w14:paraId="0D76EC16" w14:textId="749D5A84" w:rsidR="005347D0" w:rsidRPr="00E33B8A" w:rsidRDefault="00EA6491" w:rsidP="00DD00CB">
      <w:pPr>
        <w:pStyle w:val="ListParagraph"/>
        <w:numPr>
          <w:ilvl w:val="0"/>
          <w:numId w:val="28"/>
        </w:numPr>
        <w:ind w:left="720"/>
        <w:contextualSpacing w:val="0"/>
      </w:pPr>
      <w:r w:rsidRPr="00E33B8A">
        <w:t xml:space="preserve">Decertification of Plant Hammond Units 1-4, Plant McIntosh Unit 1, Plant Estatoah Unit 1, Plant </w:t>
      </w:r>
      <w:r w:rsidR="001B4CB8">
        <w:t>Langdale Units 5-</w:t>
      </w:r>
      <w:r w:rsidRPr="00E33B8A">
        <w:t>6</w:t>
      </w:r>
      <w:r w:rsidR="001B4CB8">
        <w:t>, and Plant Riverview Units 1-</w:t>
      </w:r>
      <w:r w:rsidRPr="00E33B8A">
        <w:t>2 effective as of the date of the final order in this proceeding;</w:t>
      </w:r>
      <w:r w:rsidR="003311D3">
        <w:t xml:space="preserve"> and</w:t>
      </w:r>
    </w:p>
    <w:p w14:paraId="29C85506" w14:textId="6916E3AD" w:rsidR="009E572F" w:rsidRPr="00E33B8A" w:rsidRDefault="00EA6491" w:rsidP="00DD00CB">
      <w:pPr>
        <w:pStyle w:val="ListParagraph"/>
        <w:numPr>
          <w:ilvl w:val="0"/>
          <w:numId w:val="28"/>
        </w:numPr>
        <w:ind w:left="720"/>
      </w:pPr>
      <w:r w:rsidRPr="00E33B8A">
        <w:t xml:space="preserve">The related cost recovery as detailed in </w:t>
      </w:r>
      <w:r w:rsidR="00343810">
        <w:t xml:space="preserve">the Cost Recovery section </w:t>
      </w:r>
      <w:r w:rsidRPr="00E33B8A">
        <w:t>of this 2019 Decertification Application</w:t>
      </w:r>
      <w:r w:rsidR="002B0775">
        <w:t>.</w:t>
      </w:r>
      <w:r w:rsidR="009E572F" w:rsidRPr="00E33B8A">
        <w:br w:type="page"/>
      </w:r>
    </w:p>
    <w:p w14:paraId="5906F096" w14:textId="77777777" w:rsidR="00A63672" w:rsidRDefault="00A63672" w:rsidP="00E33B8A">
      <w:pPr>
        <w:pStyle w:val="1B"/>
        <w:sectPr w:rsidR="00A63672" w:rsidSect="00A63672">
          <w:footerReference w:type="default" r:id="rId23"/>
          <w:type w:val="continuous"/>
          <w:pgSz w:w="12240" w:h="15840"/>
          <w:pgMar w:top="1440" w:right="1440" w:bottom="1440" w:left="1440" w:header="720" w:footer="432" w:gutter="0"/>
          <w:cols w:space="720"/>
          <w:docGrid w:linePitch="360"/>
        </w:sectPr>
      </w:pPr>
      <w:bookmarkStart w:id="291" w:name="_Ref529181857"/>
    </w:p>
    <w:p w14:paraId="2CED719C" w14:textId="7C3D5C32" w:rsidR="00650C96" w:rsidRPr="00E33B8A" w:rsidRDefault="00650C96" w:rsidP="00E33B8A">
      <w:pPr>
        <w:pStyle w:val="1B"/>
      </w:pPr>
      <w:bookmarkStart w:id="292" w:name="_Ref533152538"/>
      <w:bookmarkStart w:id="293" w:name="_Ref533152547"/>
      <w:bookmarkStart w:id="294" w:name="_Ref533152552"/>
      <w:bookmarkStart w:id="295" w:name="_Ref533152557"/>
      <w:bookmarkStart w:id="296" w:name="_Ref533152561"/>
      <w:bookmarkStart w:id="297" w:name="_Ref533152577"/>
      <w:bookmarkStart w:id="298" w:name="_Toc536209180"/>
      <w:r w:rsidRPr="00E33B8A">
        <w:t>STEWA</w:t>
      </w:r>
      <w:r w:rsidR="00FA3198" w:rsidRPr="00E33B8A">
        <w:t>R</w:t>
      </w:r>
      <w:r w:rsidRPr="00E33B8A">
        <w:t>T COUNTY</w:t>
      </w:r>
      <w:r w:rsidR="00FA3198" w:rsidRPr="00E33B8A">
        <w:t xml:space="preserve"> STATUS REPORT</w:t>
      </w:r>
      <w:bookmarkEnd w:id="291"/>
      <w:bookmarkEnd w:id="292"/>
      <w:bookmarkEnd w:id="293"/>
      <w:bookmarkEnd w:id="294"/>
      <w:bookmarkEnd w:id="295"/>
      <w:bookmarkEnd w:id="296"/>
      <w:bookmarkEnd w:id="297"/>
      <w:bookmarkEnd w:id="298"/>
    </w:p>
    <w:p w14:paraId="577B5512" w14:textId="01ED31EC" w:rsidR="00F24B22" w:rsidRPr="00013DAF" w:rsidRDefault="00B97523" w:rsidP="008B5F0B">
      <w:pPr>
        <w:pStyle w:val="Heading3"/>
        <w:rPr>
          <w:rFonts w:eastAsia="Arial Unicode MS"/>
          <w:u w:color="000000"/>
          <w:bdr w:val="nil"/>
        </w:rPr>
      </w:pPr>
      <w:r>
        <w:rPr>
          <w:rFonts w:eastAsia="Arial Unicode MS"/>
          <w:u w:color="000000"/>
          <w:bdr w:val="nil"/>
        </w:rPr>
        <w:t>Executive Summary</w:t>
      </w:r>
    </w:p>
    <w:p w14:paraId="34728004" w14:textId="5A7C1D2C" w:rsidR="00693B87" w:rsidRPr="00E33B8A" w:rsidRDefault="008A7C68" w:rsidP="00E33B8A">
      <w:pPr>
        <w:rPr>
          <w:b/>
        </w:rPr>
      </w:pPr>
      <w:r w:rsidRPr="00E33B8A">
        <w:rPr>
          <w:b/>
        </w:rPr>
        <w:t>On March 1, 2017, Georgia Power notified the Commission of its intention to suspend work on the Stewart County Site Investigation (“Suspension Filing”). The Site Investigation explored the option of pursuing new nuclear generation as a potential future baseload option at a site in Stewart County, Georgia.</w:t>
      </w:r>
    </w:p>
    <w:p w14:paraId="786077AD" w14:textId="20A24C61" w:rsidR="008A7C68" w:rsidRPr="00693B87" w:rsidRDefault="008A7C68" w:rsidP="00E33B8A">
      <w:r w:rsidRPr="00693B87">
        <w:t xml:space="preserve">As the Company explained in the Suspension Filing, the site suitability work had been completed, and the Company would soon begin the necessary activities to close out and preserve the work that was performed during the Stewart County Site Investigation. The suspension of investigation activities acknowledged changing factors that altered the timing for the deployment of new nuclear. </w:t>
      </w:r>
      <w:r w:rsidR="00101345" w:rsidRPr="00693B87">
        <w:t xml:space="preserve">The suspension provides the Commission and the Company the ability to further evaluate the timing for deployment of new nuclear using updated assumptions in a comprehensive triennial Integrated Resource Plan proceeding. </w:t>
      </w:r>
    </w:p>
    <w:p w14:paraId="45AB5904" w14:textId="2E1BEEE2" w:rsidR="008A7C68" w:rsidRPr="00693B87" w:rsidRDefault="008A7C68" w:rsidP="00E33B8A">
      <w:r w:rsidRPr="00693B87">
        <w:t>On March 7, 2017, the Commission approved the Company’s Suspension Filing. In accordance with the approved Order, “the Company shall not recommence the Stewart County Site Investigation or incur additional related costs beyond the cost necessary to close out and preserve the work performed to date witho</w:t>
      </w:r>
      <w:r w:rsidR="002B0775">
        <w:t>ut prior Commission approval.”</w:t>
      </w:r>
    </w:p>
    <w:p w14:paraId="0A0B4E42" w14:textId="6E179F79" w:rsidR="008A7C68" w:rsidRPr="00E33B8A" w:rsidRDefault="008A7C68" w:rsidP="00E33B8A">
      <w:pPr>
        <w:rPr>
          <w:b/>
        </w:rPr>
      </w:pPr>
      <w:r w:rsidRPr="00E33B8A">
        <w:rPr>
          <w:b/>
        </w:rPr>
        <w:t xml:space="preserve">As of June 20, 2018, the Company has completed all planned site activities. </w:t>
      </w:r>
    </w:p>
    <w:p w14:paraId="45A85EBA" w14:textId="1A8A29F5" w:rsidR="008A7C68" w:rsidRPr="00693B87" w:rsidRDefault="008A7C68" w:rsidP="00E33B8A">
      <w:r w:rsidRPr="00693B87">
        <w:t>As stated in the 2017 Annual Status Report, activities were taking place to ensure that the site would be available for future use should the need for additional generating capacity arise. Following the 2018 Annual Status Report, the meteorological tower was dismantled and stored on-site. No further preservation activities are planned, thereby concluding all work associated with the Stewart County Site Investigation. The site remains in a “preserved” state pursuant to the Commission’s Order.</w:t>
      </w:r>
    </w:p>
    <w:p w14:paraId="54F4A028" w14:textId="30A461E9" w:rsidR="00F24B22" w:rsidRPr="00E33B8A" w:rsidRDefault="008A7C68" w:rsidP="00E33B8A">
      <w:pPr>
        <w:rPr>
          <w:b/>
        </w:rPr>
      </w:pPr>
      <w:r w:rsidRPr="00E33B8A">
        <w:rPr>
          <w:b/>
        </w:rPr>
        <w:t>As of</w:t>
      </w:r>
      <w:r w:rsidR="00B029C7">
        <w:rPr>
          <w:b/>
        </w:rPr>
        <w:t xml:space="preserve"> </w:t>
      </w:r>
      <w:r w:rsidR="00B73CC0">
        <w:rPr>
          <w:b/>
        </w:rPr>
        <w:t>December</w:t>
      </w:r>
      <w:r w:rsidR="00B029C7">
        <w:rPr>
          <w:b/>
        </w:rPr>
        <w:t xml:space="preserve"> 31</w:t>
      </w:r>
      <w:r w:rsidRPr="00E33B8A">
        <w:rPr>
          <w:b/>
        </w:rPr>
        <w:t xml:space="preserve">, 2018, the Company has incurred approximately $49 million in actual expenditures during the Stewart County Site Investigation. All accounts used for the Stewart County Site Investigation have been closed. </w:t>
      </w:r>
    </w:p>
    <w:p w14:paraId="75618EB4" w14:textId="77777777" w:rsidR="00693B87" w:rsidRPr="00693B87" w:rsidRDefault="00693B87" w:rsidP="00693B87">
      <w:pPr>
        <w:pStyle w:val="ListParagraph"/>
        <w:ind w:left="360"/>
        <w:rPr>
          <w:b/>
        </w:rPr>
      </w:pPr>
    </w:p>
    <w:p w14:paraId="64C23B18" w14:textId="62546673" w:rsidR="00F24B22" w:rsidRPr="00F24B22" w:rsidRDefault="00B97523" w:rsidP="008B5F0B">
      <w:pPr>
        <w:pStyle w:val="Heading3"/>
        <w:rPr>
          <w:u w:color="000000"/>
          <w:bdr w:val="nil"/>
        </w:rPr>
      </w:pPr>
      <w:r>
        <w:t>Authorized Cost Update</w:t>
      </w:r>
    </w:p>
    <w:p w14:paraId="0A2A0BCD" w14:textId="04D21424" w:rsidR="008A7C68" w:rsidRPr="008A7C68" w:rsidRDefault="008A7C68" w:rsidP="00E33B8A">
      <w:r w:rsidRPr="00693B87">
        <w:t>Site Investigation and COL application related cost activities are as follows:</w:t>
      </w:r>
    </w:p>
    <w:p w14:paraId="30528706" w14:textId="1EBE8F3D" w:rsidR="008A7C68" w:rsidRPr="00693B87" w:rsidRDefault="008A7C68" w:rsidP="00E33B8A">
      <w:r w:rsidRPr="00693B87">
        <w:rPr>
          <w:u w:val="single"/>
        </w:rPr>
        <w:t>Labor</w:t>
      </w:r>
      <w:r w:rsidRPr="00693B87">
        <w:t xml:space="preserve"> </w:t>
      </w:r>
      <w:r w:rsidR="00646F0E">
        <w:t>–</w:t>
      </w:r>
      <w:r w:rsidRPr="00693B87">
        <w:t xml:space="preserve"> These costs reflect labor from multiple departments, including leased employees, to support the Site Investigation activities (e.g. administrative support, accounting, project planning, engineering, COL application development, etc.). Management oversight of the Stewart County Site Investigation activities is also included. </w:t>
      </w:r>
    </w:p>
    <w:p w14:paraId="0E62AEC1" w14:textId="39160A3B" w:rsidR="008A7C68" w:rsidRPr="00693B87" w:rsidRDefault="008A7C68" w:rsidP="00E33B8A">
      <w:r w:rsidRPr="00693B87">
        <w:rPr>
          <w:u w:val="single"/>
        </w:rPr>
        <w:t>Overhead</w:t>
      </w:r>
      <w:r w:rsidRPr="00693B87">
        <w:t xml:space="preserve"> – These costs are a percentage of the normal labor costs. </w:t>
      </w:r>
    </w:p>
    <w:p w14:paraId="1F84CB41" w14:textId="38786FE5" w:rsidR="008A7C68" w:rsidRPr="00693B87" w:rsidRDefault="008A7C68" w:rsidP="00E33B8A">
      <w:r w:rsidRPr="00693B87">
        <w:rPr>
          <w:u w:val="single"/>
        </w:rPr>
        <w:t>Meals &amp; Travel</w:t>
      </w:r>
      <w:r w:rsidRPr="00693B87">
        <w:t xml:space="preserve"> – Travel and expenses associated with the Site Investigation.</w:t>
      </w:r>
    </w:p>
    <w:p w14:paraId="05CC2C46" w14:textId="0C1D95B4" w:rsidR="008A7C68" w:rsidRPr="00693B87" w:rsidRDefault="008A7C68" w:rsidP="00E33B8A">
      <w:r w:rsidRPr="00693B87">
        <w:rPr>
          <w:u w:val="single"/>
        </w:rPr>
        <w:t>Relocation</w:t>
      </w:r>
      <w:r w:rsidRPr="00693B87">
        <w:t xml:space="preserve"> – Costs associated with relocating Company employees supporting the Site Investigation.</w:t>
      </w:r>
    </w:p>
    <w:p w14:paraId="00EC5D41" w14:textId="56260688" w:rsidR="008A7C68" w:rsidRPr="00693B87" w:rsidRDefault="008A7C68" w:rsidP="00E33B8A">
      <w:r w:rsidRPr="00693B87">
        <w:rPr>
          <w:u w:val="single"/>
        </w:rPr>
        <w:t>Contract Labor</w:t>
      </w:r>
      <w:r w:rsidRPr="00693B87">
        <w:t xml:space="preserve"> – Costs associated with services from outside vendors to support specific scopes of work within the Site Investigation</w:t>
      </w:r>
      <w:r w:rsidR="00680AEE">
        <w:t xml:space="preserve">. </w:t>
      </w:r>
      <w:r w:rsidRPr="00693B87">
        <w:t xml:space="preserve">Note that contractors may also use subcontractors to support their activities. For example, a key subcontractor for Bechtel is S&amp;ME Inc. A </w:t>
      </w:r>
      <w:r w:rsidR="00FD5DF5">
        <w:t>list</w:t>
      </w:r>
      <w:r w:rsidRPr="00693B87">
        <w:t xml:space="preserve"> of Site Investigation major contractors, along with their primary scope of work, is provided </w:t>
      </w:r>
      <w:r w:rsidR="00FD5DF5">
        <w:t xml:space="preserve">in </w:t>
      </w:r>
      <w:r w:rsidR="00A87D92">
        <w:fldChar w:fldCharType="begin"/>
      </w:r>
      <w:r w:rsidR="00A87D92">
        <w:instrText xml:space="preserve"> REF _Ref532999626 \h </w:instrText>
      </w:r>
      <w:r w:rsidR="00A87D92">
        <w:fldChar w:fldCharType="separate"/>
      </w:r>
      <w:r w:rsidR="00F33DA2">
        <w:t>Table G-</w:t>
      </w:r>
      <w:r w:rsidR="00F33DA2">
        <w:rPr>
          <w:noProof/>
        </w:rPr>
        <w:t>6</w:t>
      </w:r>
      <w:r w:rsidR="00A87D92">
        <w:fldChar w:fldCharType="end"/>
      </w:r>
      <w:r w:rsidR="00A87D92">
        <w:t xml:space="preserve"> </w:t>
      </w:r>
      <w:r w:rsidRPr="00693B87">
        <w:t>below:</w:t>
      </w:r>
    </w:p>
    <w:p w14:paraId="462BAD2D" w14:textId="64085788" w:rsidR="00FD5DF5" w:rsidRDefault="00FD5DF5" w:rsidP="00FD5DF5">
      <w:pPr>
        <w:pStyle w:val="Caption"/>
        <w:keepNext/>
        <w:jc w:val="center"/>
      </w:pPr>
      <w:bookmarkStart w:id="299" w:name="_Ref532999626"/>
      <w:r>
        <w:t xml:space="preserve">Table </w:t>
      </w:r>
      <w:r w:rsidR="00FB3B8F">
        <w:t>G-</w:t>
      </w:r>
      <w:r w:rsidR="00FA0526">
        <w:rPr>
          <w:noProof/>
        </w:rPr>
        <w:fldChar w:fldCharType="begin"/>
      </w:r>
      <w:r w:rsidR="00FA0526">
        <w:rPr>
          <w:noProof/>
        </w:rPr>
        <w:instrText xml:space="preserve"> SEQ Table \* ARABIC </w:instrText>
      </w:r>
      <w:r w:rsidR="00FA0526">
        <w:rPr>
          <w:noProof/>
        </w:rPr>
        <w:fldChar w:fldCharType="separate"/>
      </w:r>
      <w:r w:rsidR="00F33DA2">
        <w:rPr>
          <w:noProof/>
        </w:rPr>
        <w:t>6</w:t>
      </w:r>
      <w:r w:rsidR="00FA0526">
        <w:rPr>
          <w:noProof/>
        </w:rPr>
        <w:fldChar w:fldCharType="end"/>
      </w:r>
      <w:bookmarkEnd w:id="299"/>
      <w:r w:rsidR="00FB3B8F">
        <w:t>:</w:t>
      </w:r>
      <w:r>
        <w:t xml:space="preserve"> </w:t>
      </w:r>
      <w:r w:rsidRPr="00A52918">
        <w:t xml:space="preserve">Site Investigation </w:t>
      </w:r>
      <w:r>
        <w:t>M</w:t>
      </w:r>
      <w:r w:rsidRPr="00A52918">
        <w:t xml:space="preserve">ajor </w:t>
      </w:r>
      <w:r>
        <w:t>C</w:t>
      </w:r>
      <w:r w:rsidRPr="00A52918">
        <w:t>ontractors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6563"/>
      </w:tblGrid>
      <w:tr w:rsidR="008A7C68" w:rsidRPr="00013DAF" w14:paraId="7DBA56CD" w14:textId="77777777" w:rsidTr="009425D6">
        <w:tc>
          <w:tcPr>
            <w:tcW w:w="2679" w:type="dxa"/>
          </w:tcPr>
          <w:p w14:paraId="0A8C9077" w14:textId="7393817D" w:rsidR="008A7C68" w:rsidRPr="0076461C" w:rsidRDefault="008A7C68" w:rsidP="008A7C68">
            <w:pPr>
              <w:spacing w:after="0" w:line="276" w:lineRule="auto"/>
            </w:pPr>
            <w:r w:rsidRPr="0076461C">
              <w:rPr>
                <w:b/>
              </w:rPr>
              <w:t>Subcontractor</w:t>
            </w:r>
          </w:p>
        </w:tc>
        <w:tc>
          <w:tcPr>
            <w:tcW w:w="6563" w:type="dxa"/>
          </w:tcPr>
          <w:p w14:paraId="4D8EE37F" w14:textId="0C38F64A" w:rsidR="008A7C68" w:rsidRPr="0076461C" w:rsidRDefault="008A7C68" w:rsidP="008A7C68">
            <w:pPr>
              <w:spacing w:after="0" w:line="276" w:lineRule="auto"/>
            </w:pPr>
            <w:r w:rsidRPr="0076461C">
              <w:rPr>
                <w:b/>
              </w:rPr>
              <w:t>Scope of Work</w:t>
            </w:r>
          </w:p>
        </w:tc>
      </w:tr>
      <w:tr w:rsidR="008A7C68" w:rsidRPr="00013DAF" w14:paraId="0EC0128D" w14:textId="77777777" w:rsidTr="009425D6">
        <w:tc>
          <w:tcPr>
            <w:tcW w:w="2679" w:type="dxa"/>
          </w:tcPr>
          <w:p w14:paraId="70A0E43D" w14:textId="2CEF4DA1" w:rsidR="008A7C68" w:rsidRPr="0076461C" w:rsidRDefault="008A7C68" w:rsidP="008A7C68">
            <w:pPr>
              <w:spacing w:after="0" w:line="276" w:lineRule="auto"/>
              <w:jc w:val="left"/>
            </w:pPr>
            <w:r w:rsidRPr="0076461C">
              <w:t>Bechtel Power Company</w:t>
            </w:r>
          </w:p>
        </w:tc>
        <w:tc>
          <w:tcPr>
            <w:tcW w:w="6563" w:type="dxa"/>
          </w:tcPr>
          <w:p w14:paraId="6760FC68" w14:textId="5686F571" w:rsidR="008A7C68" w:rsidRPr="0076461C" w:rsidRDefault="008A7C68" w:rsidP="008A7C68">
            <w:pPr>
              <w:spacing w:after="0" w:line="276" w:lineRule="auto"/>
              <w:jc w:val="left"/>
            </w:pPr>
            <w:r w:rsidRPr="0076461C">
              <w:t>Primarily responsible for preparing and overseeing technical work as well as developing the COL application.</w:t>
            </w:r>
          </w:p>
        </w:tc>
      </w:tr>
      <w:tr w:rsidR="008A7C68" w:rsidRPr="00013DAF" w14:paraId="65C63BD3" w14:textId="77777777" w:rsidTr="009425D6">
        <w:tc>
          <w:tcPr>
            <w:tcW w:w="2679" w:type="dxa"/>
          </w:tcPr>
          <w:p w14:paraId="79946CDB" w14:textId="401A6F65" w:rsidR="008A7C68" w:rsidRPr="0076461C" w:rsidRDefault="008A7C68" w:rsidP="008A7C68">
            <w:pPr>
              <w:spacing w:after="0" w:line="276" w:lineRule="auto"/>
              <w:jc w:val="left"/>
            </w:pPr>
            <w:r w:rsidRPr="0076461C">
              <w:t>Corblu</w:t>
            </w:r>
          </w:p>
        </w:tc>
        <w:tc>
          <w:tcPr>
            <w:tcW w:w="6563" w:type="dxa"/>
          </w:tcPr>
          <w:p w14:paraId="4E211242" w14:textId="451D2971" w:rsidR="008A7C68" w:rsidRPr="0076461C" w:rsidRDefault="008A7C68" w:rsidP="008A7C68">
            <w:pPr>
              <w:spacing w:after="0" w:line="276" w:lineRule="auto"/>
              <w:jc w:val="left"/>
            </w:pPr>
            <w:r w:rsidRPr="0076461C">
              <w:t>Utilized to perform biological mapping and habitat surveys.</w:t>
            </w:r>
          </w:p>
        </w:tc>
      </w:tr>
      <w:tr w:rsidR="008A7C68" w:rsidRPr="00013DAF" w14:paraId="28B8CA3E" w14:textId="77777777" w:rsidTr="009425D6">
        <w:tc>
          <w:tcPr>
            <w:tcW w:w="2679" w:type="dxa"/>
          </w:tcPr>
          <w:p w14:paraId="00F2034B" w14:textId="4198E3FC" w:rsidR="008A7C68" w:rsidRPr="0076461C" w:rsidRDefault="008A7C68" w:rsidP="008A7C68">
            <w:pPr>
              <w:spacing w:after="0" w:line="276" w:lineRule="auto"/>
              <w:jc w:val="left"/>
            </w:pPr>
            <w:r w:rsidRPr="0076461C">
              <w:t>Lettis Consultants International, Inc.</w:t>
            </w:r>
          </w:p>
        </w:tc>
        <w:tc>
          <w:tcPr>
            <w:tcW w:w="6563" w:type="dxa"/>
          </w:tcPr>
          <w:p w14:paraId="5F750E77" w14:textId="3D8AAA58" w:rsidR="008A7C68" w:rsidRPr="0076461C" w:rsidRDefault="008A7C68" w:rsidP="008A7C68">
            <w:pPr>
              <w:spacing w:after="0" w:line="276" w:lineRule="auto"/>
              <w:jc w:val="left"/>
            </w:pPr>
            <w:r w:rsidRPr="0076461C">
              <w:t>Primarily responsible for preparing and overseeing seismic and geological work including parts of the COL application.</w:t>
            </w:r>
          </w:p>
        </w:tc>
      </w:tr>
      <w:tr w:rsidR="008A7C68" w:rsidRPr="00013DAF" w14:paraId="0D3C0C38" w14:textId="77777777" w:rsidTr="009425D6">
        <w:tc>
          <w:tcPr>
            <w:tcW w:w="2679" w:type="dxa"/>
          </w:tcPr>
          <w:p w14:paraId="543377C0" w14:textId="57DA1B8F" w:rsidR="008A7C68" w:rsidRPr="0076461C" w:rsidRDefault="008A7C68" w:rsidP="008A7C68">
            <w:pPr>
              <w:spacing w:after="0" w:line="276" w:lineRule="auto"/>
              <w:jc w:val="left"/>
            </w:pPr>
            <w:r w:rsidRPr="0076461C">
              <w:t>New South</w:t>
            </w:r>
          </w:p>
        </w:tc>
        <w:tc>
          <w:tcPr>
            <w:tcW w:w="6563" w:type="dxa"/>
          </w:tcPr>
          <w:p w14:paraId="5585E8AD" w14:textId="367325B9" w:rsidR="008A7C68" w:rsidRPr="0076461C" w:rsidRDefault="008A7C68" w:rsidP="008A7C68">
            <w:pPr>
              <w:spacing w:after="0" w:line="276" w:lineRule="auto"/>
              <w:jc w:val="left"/>
            </w:pPr>
            <w:r w:rsidRPr="0076461C">
              <w:t>Utilized to perform cultural resources surveys.</w:t>
            </w:r>
          </w:p>
        </w:tc>
      </w:tr>
      <w:tr w:rsidR="008A7C68" w:rsidRPr="00013DAF" w14:paraId="720CAE58" w14:textId="77777777" w:rsidTr="009425D6">
        <w:tc>
          <w:tcPr>
            <w:tcW w:w="2679" w:type="dxa"/>
          </w:tcPr>
          <w:p w14:paraId="53AD6BE0" w14:textId="5A7427C2" w:rsidR="008A7C68" w:rsidRPr="0076461C" w:rsidRDefault="008A7C68" w:rsidP="008A7C68">
            <w:pPr>
              <w:spacing w:after="0" w:line="276" w:lineRule="auto"/>
              <w:jc w:val="left"/>
            </w:pPr>
            <w:r w:rsidRPr="0076461C">
              <w:t>Tetra Tech</w:t>
            </w:r>
          </w:p>
        </w:tc>
        <w:tc>
          <w:tcPr>
            <w:tcW w:w="6563" w:type="dxa"/>
          </w:tcPr>
          <w:p w14:paraId="3F105EAB" w14:textId="1192CD84" w:rsidR="008A7C68" w:rsidRPr="0076461C" w:rsidRDefault="008A7C68" w:rsidP="008A7C68">
            <w:pPr>
              <w:spacing w:after="0" w:line="276" w:lineRule="auto"/>
              <w:jc w:val="left"/>
            </w:pPr>
            <w:r w:rsidRPr="0076461C">
              <w:t>Primarily responsible for preparing and overseeing environmental work including the environmental report needed for a COL application.</w:t>
            </w:r>
          </w:p>
        </w:tc>
      </w:tr>
    </w:tbl>
    <w:p w14:paraId="27E95F9B" w14:textId="77777777" w:rsidR="00693B87" w:rsidRDefault="00693B87" w:rsidP="00693B87">
      <w:pPr>
        <w:rPr>
          <w:szCs w:val="24"/>
        </w:rPr>
      </w:pPr>
    </w:p>
    <w:p w14:paraId="08B10CC3" w14:textId="0D5F9BD1" w:rsidR="008A7C68" w:rsidRPr="00693B87" w:rsidRDefault="00F24B22" w:rsidP="004A2729">
      <w:r w:rsidRPr="00693B87">
        <w:rPr>
          <w:u w:val="single"/>
        </w:rPr>
        <w:t>Legal Fees</w:t>
      </w:r>
      <w:r w:rsidRPr="00693B87">
        <w:t xml:space="preserve"> – Costs associated with legal ove</w:t>
      </w:r>
      <w:r w:rsidR="00C36C94" w:rsidRPr="00693B87">
        <w:t>rsight and regulatory support.</w:t>
      </w:r>
    </w:p>
    <w:p w14:paraId="30EC2992" w14:textId="6EF1BA22" w:rsidR="008A7C68" w:rsidRPr="00693B87" w:rsidRDefault="0076461C" w:rsidP="004A2729">
      <w:r w:rsidRPr="0076461C">
        <w:rPr>
          <w:u w:val="single"/>
        </w:rPr>
        <w:t>NRC Fees</w:t>
      </w:r>
      <w:r w:rsidR="00F24B22" w:rsidRPr="00693B87">
        <w:t xml:space="preserve"> – Costs associated with NRC reviews, audits, and project management support.</w:t>
      </w:r>
    </w:p>
    <w:p w14:paraId="77C33BCC" w14:textId="44E5AF6C" w:rsidR="008A7C68" w:rsidRPr="00693B87" w:rsidRDefault="00F24B22" w:rsidP="004A2729">
      <w:r w:rsidRPr="00693B87">
        <w:rPr>
          <w:u w:val="single"/>
        </w:rPr>
        <w:t>Equipment</w:t>
      </w:r>
      <w:r w:rsidRPr="00693B87">
        <w:t xml:space="preserve"> – Costs associated with the Meteorological Tower.</w:t>
      </w:r>
    </w:p>
    <w:p w14:paraId="2023BAD0" w14:textId="00756B54" w:rsidR="008A7C68" w:rsidRPr="00693B87" w:rsidRDefault="00F24B22" w:rsidP="004A2729">
      <w:r w:rsidRPr="00693B87">
        <w:rPr>
          <w:u w:val="single"/>
        </w:rPr>
        <w:t>Miscellaneous Expenses</w:t>
      </w:r>
      <w:r w:rsidRPr="00693B87">
        <w:t xml:space="preserve"> – Other less significant costs include utilities for onsite trailers, truck leases, office supplies, and dues.</w:t>
      </w:r>
    </w:p>
    <w:p w14:paraId="6317D488" w14:textId="135A619E" w:rsidR="008A7C68" w:rsidRPr="00693B87" w:rsidRDefault="00F24B22" w:rsidP="004A2729">
      <w:r w:rsidRPr="00693B87">
        <w:rPr>
          <w:u w:val="single"/>
        </w:rPr>
        <w:t>Transmission Studies</w:t>
      </w:r>
      <w:r w:rsidRPr="00693B87">
        <w:t xml:space="preserve"> – Costs associated with analysis of optimum connection locations to the power delivery system based on theoretical generation located at the site. This effort supports transmission line routing efforts and licensing/permitting activities.</w:t>
      </w:r>
    </w:p>
    <w:p w14:paraId="69A8664F" w14:textId="77777777" w:rsidR="00F24B22" w:rsidRPr="00693B87" w:rsidRDefault="00F24B22" w:rsidP="004A2729">
      <w:r w:rsidRPr="00693B87">
        <w:rPr>
          <w:u w:val="single"/>
        </w:rPr>
        <w:t>Transmission Line Routing</w:t>
      </w:r>
      <w:r w:rsidRPr="00693B87">
        <w:t xml:space="preserve"> – Costs associated with analysis performed to evaluate potential transmission line routes to support licensing and permitting for the site. </w:t>
      </w:r>
    </w:p>
    <w:p w14:paraId="090A2CB5" w14:textId="77777777" w:rsidR="00592B62" w:rsidRDefault="00B73CC0" w:rsidP="00592B62">
      <w:pPr>
        <w:spacing w:after="0"/>
        <w:rPr>
          <w:strike/>
        </w:rPr>
      </w:pPr>
      <w:r w:rsidRPr="00B73CC0">
        <w:rPr>
          <w:noProof/>
        </w:rPr>
        <w:drawing>
          <wp:inline distT="0" distB="0" distL="0" distR="0" wp14:anchorId="1EF1B427" wp14:editId="2F257797">
            <wp:extent cx="5943600" cy="443083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30834"/>
                    </a:xfrm>
                    <a:prstGeom prst="rect">
                      <a:avLst/>
                    </a:prstGeom>
                    <a:noFill/>
                    <a:ln>
                      <a:noFill/>
                    </a:ln>
                  </pic:spPr>
                </pic:pic>
              </a:graphicData>
            </a:graphic>
          </wp:inline>
        </w:drawing>
      </w:r>
    </w:p>
    <w:p w14:paraId="4C89505F" w14:textId="1041AAC2" w:rsidR="00D05CEF" w:rsidRDefault="009425D6" w:rsidP="00F24B22">
      <w:pPr>
        <w:rPr>
          <w:strike/>
        </w:rPr>
      </w:pPr>
      <w:r w:rsidRPr="006921E0">
        <w:rPr>
          <w:noProof/>
        </w:rPr>
        <mc:AlternateContent>
          <mc:Choice Requires="wps">
            <w:drawing>
              <wp:inline distT="0" distB="0" distL="0" distR="0" wp14:anchorId="1AB1ACF9" wp14:editId="42408900">
                <wp:extent cx="5943600" cy="262087"/>
                <wp:effectExtent l="0" t="0" r="0" b="5080"/>
                <wp:docPr id="15" name="Text Box 15"/>
                <wp:cNvGraphicFramePr/>
                <a:graphic xmlns:a="http://schemas.openxmlformats.org/drawingml/2006/main">
                  <a:graphicData uri="http://schemas.microsoft.com/office/word/2010/wordprocessingShape">
                    <wps:wsp>
                      <wps:cNvSpPr txBox="1"/>
                      <wps:spPr>
                        <a:xfrm>
                          <a:off x="0" y="0"/>
                          <a:ext cx="5943600" cy="262087"/>
                        </a:xfrm>
                        <a:prstGeom prst="rect">
                          <a:avLst/>
                        </a:prstGeom>
                        <a:solidFill>
                          <a:sysClr val="window" lastClr="FFFFFF"/>
                        </a:solidFill>
                        <a:ln w="6350">
                          <a:noFill/>
                        </a:ln>
                        <a:effectLst/>
                      </wps:spPr>
                      <wps:txbx>
                        <w:txbxContent>
                          <w:p w14:paraId="143DE194" w14:textId="52E42FA5" w:rsidR="00D87985" w:rsidRPr="006921E0" w:rsidRDefault="00D87985" w:rsidP="004A2729">
                            <w:pPr>
                              <w:pStyle w:val="Footnote"/>
                            </w:pPr>
                            <w:r w:rsidRPr="006921E0">
                              <w:t xml:space="preserve">Note: </w:t>
                            </w:r>
                            <w:r>
                              <w:t>Values</w:t>
                            </w:r>
                            <w:r w:rsidRPr="006921E0">
                              <w:t xml:space="preserve"> may not add due to rounding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B1ACF9" id="Text Box 15" o:spid="_x0000_s1029" type="#_x0000_t202" style="width:468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" fillcolor="window" stroked="f" strokeweight=".5pt">
                <v:textbox>
                  <w:txbxContent>
                    <w:p w14:paraId="143DE194" w14:textId="52E42FA5" w:rsidR="00D87985" w:rsidRPr="006921E0" w:rsidRDefault="00D87985" w:rsidP="004A2729">
                      <w:pPr>
                        <w:pStyle w:val="Footnote"/>
                      </w:pPr>
                      <w:r w:rsidRPr="006921E0">
                        <w:t xml:space="preserve">Note: </w:t>
                      </w:r>
                      <w:r>
                        <w:t>Values</w:t>
                      </w:r>
                      <w:r w:rsidRPr="006921E0">
                        <w:t xml:space="preserve"> may not add due to rounding</w:t>
                      </w:r>
                    </w:p>
                  </w:txbxContent>
                </v:textbox>
                <w10:anchorlock/>
              </v:shape>
            </w:pict>
          </mc:Fallback>
        </mc:AlternateContent>
      </w:r>
    </w:p>
    <w:p w14:paraId="4A460B58" w14:textId="76CAAF3B" w:rsidR="00A63672" w:rsidRDefault="0077315D" w:rsidP="00592B62">
      <w:pPr>
        <w:spacing w:after="160" w:line="259" w:lineRule="auto"/>
        <w:jc w:val="left"/>
        <w:sectPr w:rsidR="00A63672" w:rsidSect="00A63672">
          <w:footerReference w:type="default" r:id="rId25"/>
          <w:type w:val="continuous"/>
          <w:pgSz w:w="12240" w:h="15840"/>
          <w:pgMar w:top="1440" w:right="1440" w:bottom="1440" w:left="1440" w:header="720" w:footer="432" w:gutter="0"/>
          <w:cols w:space="720"/>
          <w:docGrid w:linePitch="360"/>
        </w:sectPr>
      </w:pPr>
      <w:r>
        <w:rPr>
          <w:strike/>
        </w:rPr>
        <w:br w:type="page"/>
      </w:r>
    </w:p>
    <w:p w14:paraId="55276AB4" w14:textId="2877C1DA" w:rsidR="00B93847" w:rsidRDefault="00B93847" w:rsidP="00E33B8A">
      <w:pPr>
        <w:pStyle w:val="1B"/>
      </w:pPr>
      <w:bookmarkStart w:id="300" w:name="_Ref534807992"/>
      <w:bookmarkStart w:id="301" w:name="_Toc536209181"/>
      <w:r>
        <w:t>RESEARCH ACTIVITIES</w:t>
      </w:r>
      <w:bookmarkEnd w:id="300"/>
      <w:bookmarkEnd w:id="301"/>
    </w:p>
    <w:p w14:paraId="27B3ECA4" w14:textId="4865E08C"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rPr>
        <w:t>Georgia Power, as a subsidiary of Southern Company, is involved in a range of research activities and programs to facilitate the development of new technologies with the potential to benefit Georgia Power’s customer</w:t>
      </w:r>
      <w:r w:rsidR="00C431C9">
        <w:rPr>
          <w:rFonts w:asciiTheme="minorHAnsi" w:eastAsia="Times New Roman" w:hAnsiTheme="minorHAnsi" w:cstheme="minorHAnsi"/>
        </w:rPr>
        <w:t>s</w:t>
      </w:r>
      <w:r w:rsidRPr="001C43D8">
        <w:rPr>
          <w:rFonts w:asciiTheme="minorHAnsi" w:eastAsia="Times New Roman" w:hAnsiTheme="minorHAnsi" w:cstheme="minorHAnsi"/>
        </w:rPr>
        <w:t xml:space="preserve">. Southern Company is an industry leader in the </w:t>
      </w:r>
      <w:r>
        <w:rPr>
          <w:rFonts w:asciiTheme="minorHAnsi" w:eastAsia="Times New Roman" w:hAnsiTheme="minorHAnsi" w:cstheme="minorHAnsi"/>
        </w:rPr>
        <w:t xml:space="preserve">R&amp;D </w:t>
      </w:r>
      <w:r w:rsidRPr="001C43D8">
        <w:rPr>
          <w:rFonts w:asciiTheme="minorHAnsi" w:eastAsia="Times New Roman" w:hAnsiTheme="minorHAnsi" w:cstheme="minorHAnsi"/>
        </w:rPr>
        <w:t xml:space="preserve">of emerging energy technologies and, on behalf of the Operating Companies, manages a diverse research portfolio. This ensures Southern Company and its subsidiaries have the capabilities and knowledge to successfully deploy technologies to meet customers' energy needs today and in the future. Current R&amp;D activities can be categorized into several strategic areas, including Generation Fleet; Advanced Energy Systems; Energy End-Use; </w:t>
      </w:r>
      <w:r w:rsidR="00940D53">
        <w:rPr>
          <w:rFonts w:asciiTheme="minorHAnsi" w:eastAsia="Times New Roman" w:hAnsiTheme="minorHAnsi" w:cstheme="minorHAnsi"/>
        </w:rPr>
        <w:t>Power Delivery</w:t>
      </w:r>
      <w:r w:rsidRPr="001C43D8">
        <w:rPr>
          <w:rFonts w:asciiTheme="minorHAnsi" w:eastAsia="Times New Roman" w:hAnsiTheme="minorHAnsi" w:cstheme="minorHAnsi"/>
        </w:rPr>
        <w:t xml:space="preserve">; and Renewables, Storage and Distributed Generation. Each of these areas is composed of a number of groups of programs or projects. Each of the following program areas are led by </w:t>
      </w:r>
      <w:r w:rsidR="00234F49">
        <w:rPr>
          <w:rFonts w:asciiTheme="minorHAnsi" w:eastAsia="Times New Roman" w:hAnsiTheme="minorHAnsi" w:cstheme="minorHAnsi"/>
        </w:rPr>
        <w:t>SCS R&amp;D</w:t>
      </w:r>
      <w:r w:rsidRPr="001C43D8">
        <w:rPr>
          <w:rFonts w:asciiTheme="minorHAnsi" w:eastAsia="Times New Roman" w:hAnsiTheme="minorHAnsi" w:cstheme="minorHAnsi"/>
        </w:rPr>
        <w:t>, while individual projects within each of programs may be specific to a particular Operating Company as noted below.</w:t>
      </w:r>
    </w:p>
    <w:p w14:paraId="3C8A1BEE" w14:textId="77777777" w:rsidR="00B93847" w:rsidRPr="001C43D8" w:rsidRDefault="00B93847" w:rsidP="00B93847">
      <w:pPr>
        <w:pStyle w:val="Heading3"/>
        <w:rPr>
          <w:rFonts w:eastAsia="Times New Roman"/>
        </w:rPr>
      </w:pPr>
      <w:bookmarkStart w:id="302" w:name="_Toc441582997"/>
      <w:r w:rsidRPr="001C43D8">
        <w:rPr>
          <w:rFonts w:eastAsia="Times New Roman"/>
        </w:rPr>
        <w:t>Generation Fleet: Modernization</w:t>
      </w:r>
      <w:bookmarkEnd w:id="302"/>
      <w:r w:rsidRPr="001C43D8">
        <w:rPr>
          <w:rFonts w:eastAsia="Times New Roman"/>
        </w:rPr>
        <w:t xml:space="preserve"> </w:t>
      </w:r>
    </w:p>
    <w:p w14:paraId="195E56D3" w14:textId="38A5D0B4" w:rsidR="00B93847" w:rsidRPr="001C43D8" w:rsidRDefault="00234F49" w:rsidP="00B93847">
      <w:pPr>
        <w:rPr>
          <w:rFonts w:asciiTheme="minorHAnsi" w:eastAsia="Times New Roman" w:hAnsiTheme="minorHAnsi" w:cstheme="minorHAnsi"/>
        </w:rPr>
      </w:pPr>
      <w:r>
        <w:rPr>
          <w:rFonts w:asciiTheme="minorHAnsi" w:eastAsia="Times New Roman" w:hAnsiTheme="minorHAnsi" w:cstheme="minorHAnsi"/>
        </w:rPr>
        <w:t>SCS R&amp;D</w:t>
      </w:r>
      <w:r w:rsidR="00B93847" w:rsidRPr="001C43D8">
        <w:rPr>
          <w:rFonts w:asciiTheme="minorHAnsi" w:eastAsia="Times New Roman" w:hAnsiTheme="minorHAnsi" w:cstheme="minorHAnsi"/>
        </w:rPr>
        <w:t xml:space="preserve"> is focused on improving all components of the existing fossil fleet, with primary work in areas that include natural gas turbines, cooling systems, advanced materials and instruments and controls. This program works to maximize fleet flexibility, availability and performance; analyze, develop and demonstrate advanced generation concepts for retrofit or greenfield applications; and provide generation technology assessment for system planning. Example projects include:</w:t>
      </w:r>
    </w:p>
    <w:p w14:paraId="53359C91" w14:textId="7777777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Electric Power Research Institute (</w:t>
      </w:r>
      <w:r>
        <w:rPr>
          <w:rFonts w:asciiTheme="minorHAnsi" w:eastAsia="Times New Roman" w:hAnsiTheme="minorHAnsi" w:cstheme="minorHAnsi"/>
          <w:b/>
          <w:i/>
        </w:rPr>
        <w:t>“</w:t>
      </w:r>
      <w:r w:rsidRPr="001C43D8">
        <w:rPr>
          <w:rFonts w:asciiTheme="minorHAnsi" w:eastAsia="Times New Roman" w:hAnsiTheme="minorHAnsi" w:cstheme="minorHAnsi"/>
          <w:b/>
          <w:i/>
        </w:rPr>
        <w:t>EPRI</w:t>
      </w:r>
      <w:r>
        <w:rPr>
          <w:rFonts w:asciiTheme="minorHAnsi" w:eastAsia="Times New Roman" w:hAnsiTheme="minorHAnsi" w:cstheme="minorHAnsi"/>
          <w:b/>
          <w:i/>
        </w:rPr>
        <w:t>”</w:t>
      </w:r>
      <w:r w:rsidRPr="001C43D8">
        <w:rPr>
          <w:rFonts w:asciiTheme="minorHAnsi" w:eastAsia="Times New Roman" w:hAnsiTheme="minorHAnsi" w:cstheme="minorHAnsi"/>
          <w:b/>
          <w:i/>
        </w:rPr>
        <w:t xml:space="preserve">) </w:t>
      </w:r>
      <w:r w:rsidRPr="001C43D8">
        <w:rPr>
          <w:rFonts w:asciiTheme="minorHAnsi" w:hAnsiTheme="minorHAnsi" w:cstheme="minorHAnsi"/>
          <w:b/>
          <w:i/>
        </w:rPr>
        <w:t>Insight through Integration of Information for Intelligent Generation</w:t>
      </w:r>
      <w:r w:rsidRPr="001C43D8">
        <w:rPr>
          <w:rFonts w:asciiTheme="minorHAnsi" w:eastAsia="Times New Roman" w:hAnsiTheme="minorHAnsi" w:cstheme="minorHAnsi"/>
          <w:b/>
          <w:i/>
        </w:rPr>
        <w:t xml:space="preserve"> (</w:t>
      </w:r>
      <w:r>
        <w:rPr>
          <w:rFonts w:asciiTheme="minorHAnsi" w:eastAsia="Times New Roman" w:hAnsiTheme="minorHAnsi" w:cstheme="minorHAnsi"/>
          <w:b/>
          <w:i/>
        </w:rPr>
        <w:t>“</w:t>
      </w:r>
      <w:r w:rsidRPr="001C43D8">
        <w:rPr>
          <w:rFonts w:asciiTheme="minorHAnsi" w:eastAsia="Times New Roman" w:hAnsiTheme="minorHAnsi" w:cstheme="minorHAnsi"/>
          <w:b/>
          <w:i/>
        </w:rPr>
        <w:t>I4GEN</w:t>
      </w:r>
      <w:r>
        <w:rPr>
          <w:rFonts w:asciiTheme="minorHAnsi" w:eastAsia="Times New Roman" w:hAnsiTheme="minorHAnsi" w:cstheme="minorHAnsi"/>
          <w:b/>
          <w:i/>
        </w:rPr>
        <w:t>”</w:t>
      </w:r>
      <w:r w:rsidRPr="001C43D8">
        <w:rPr>
          <w:rFonts w:asciiTheme="minorHAnsi" w:eastAsia="Times New Roman" w:hAnsiTheme="minorHAnsi" w:cstheme="minorHAnsi"/>
          <w:b/>
          <w:i/>
        </w:rPr>
        <w:t>)</w:t>
      </w:r>
      <w:r w:rsidRPr="001C43D8">
        <w:rPr>
          <w:rFonts w:asciiTheme="minorHAnsi" w:eastAsia="Times New Roman" w:hAnsiTheme="minorHAnsi" w:cstheme="minorHAnsi"/>
        </w:rPr>
        <w:t xml:space="preserve"> – This initiative takes a holistic approach to create a digitally connected and dynamically optimized power plant. The I4GEN concept enhances an operating workforce through use of a digital platform that produces real-time information to estimate equipment condition, enhance maintenance, optimize operations and augment decision-making abilities. </w:t>
      </w:r>
    </w:p>
    <w:p w14:paraId="4AC43E31" w14:textId="7777777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Combined-Cycle Inlet Filtration Evaluations</w:t>
      </w:r>
      <w:r w:rsidRPr="001C43D8">
        <w:rPr>
          <w:rFonts w:asciiTheme="minorHAnsi" w:eastAsia="Times New Roman" w:hAnsiTheme="minorHAnsi" w:cstheme="minorHAnsi"/>
        </w:rPr>
        <w:t xml:space="preserve"> – Lab testing of both used filters and new filter designs are being evaluated to support the fleetwide bid process for new inlet filters across the natural gas combined-cycle fleet. Results of the R&amp;D will ensure optimal cost and performance of the new filters.</w:t>
      </w:r>
    </w:p>
    <w:p w14:paraId="6592BDA2" w14:textId="77777777" w:rsidR="00B93847" w:rsidRPr="001C43D8" w:rsidRDefault="00B93847" w:rsidP="00B93847">
      <w:r w:rsidRPr="001C43D8">
        <w:rPr>
          <w:b/>
          <w:i/>
        </w:rPr>
        <w:t>Advanced Control: Concepts, Design and Tuning</w:t>
      </w:r>
      <w:r w:rsidRPr="001C43D8">
        <w:t xml:space="preserve"> – Emerging technologies with the potential to enhance process control in the utility industry are being investigated, developed and demonstrated. EPRI’s Combustion Dynamics Monitoring System is being used at Southern Company subsidiary Southern Power’s Monitoring and Diagnostic Center and has already identified asset damages requiring attention.</w:t>
      </w:r>
    </w:p>
    <w:p w14:paraId="4981D5E7" w14:textId="7ECBB6B4" w:rsidR="00B93847" w:rsidRPr="001C43D8" w:rsidRDefault="00B93847" w:rsidP="00B93847">
      <w:pPr>
        <w:pStyle w:val="Heading3"/>
        <w:rPr>
          <w:rFonts w:eastAsia="Times New Roman"/>
        </w:rPr>
      </w:pPr>
      <w:r w:rsidRPr="001C43D8">
        <w:rPr>
          <w:rFonts w:eastAsia="Times New Roman"/>
        </w:rPr>
        <w:t xml:space="preserve">Generation Fleet: Carbon Capture </w:t>
      </w:r>
    </w:p>
    <w:p w14:paraId="14F7E7E5" w14:textId="7B68C9D2"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rPr>
        <w:t>This program supports the development of economic CO</w:t>
      </w:r>
      <w:r w:rsidRPr="001C43D8">
        <w:rPr>
          <w:rFonts w:asciiTheme="minorHAnsi" w:eastAsia="Times New Roman" w:hAnsiTheme="minorHAnsi" w:cstheme="minorHAnsi"/>
          <w:vertAlign w:val="subscript"/>
        </w:rPr>
        <w:t>2</w:t>
      </w:r>
      <w:r w:rsidRPr="001C43D8">
        <w:rPr>
          <w:rFonts w:asciiTheme="minorHAnsi" w:eastAsia="Times New Roman" w:hAnsiTheme="minorHAnsi" w:cstheme="minorHAnsi"/>
        </w:rPr>
        <w:t xml:space="preserve"> capture technology, demonstrates secure CO</w:t>
      </w:r>
      <w:r w:rsidRPr="001C43D8">
        <w:rPr>
          <w:rFonts w:asciiTheme="minorHAnsi" w:eastAsia="Times New Roman" w:hAnsiTheme="minorHAnsi" w:cstheme="minorHAnsi"/>
          <w:vertAlign w:val="subscript"/>
        </w:rPr>
        <w:t>2</w:t>
      </w:r>
      <w:r w:rsidRPr="001C43D8">
        <w:rPr>
          <w:rFonts w:asciiTheme="minorHAnsi" w:eastAsia="Times New Roman" w:hAnsiTheme="minorHAnsi" w:cstheme="minorHAnsi"/>
        </w:rPr>
        <w:t xml:space="preserve"> storage within the Southern Company territory, engages in stakeholder outreach to ensure support for technology deployment and promotes the development of new systems, tools, modeling capabilities and business models to support commercial deployment.</w:t>
      </w:r>
    </w:p>
    <w:p w14:paraId="05880207" w14:textId="58B65F2B"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National Carbon Capture Center</w:t>
      </w:r>
      <w:r w:rsidRPr="001C43D8">
        <w:rPr>
          <w:rFonts w:asciiTheme="minorHAnsi" w:eastAsia="Times New Roman" w:hAnsiTheme="minorHAnsi" w:cstheme="minorHAnsi"/>
        </w:rPr>
        <w:t xml:space="preserve"> – Located in Wilsonville, Alabama, the </w:t>
      </w:r>
      <w:r w:rsidR="006549F0">
        <w:rPr>
          <w:rFonts w:asciiTheme="minorHAnsi" w:eastAsia="Times New Roman" w:hAnsiTheme="minorHAnsi" w:cstheme="minorHAnsi"/>
        </w:rPr>
        <w:t>DOE</w:t>
      </w:r>
      <w:r w:rsidRPr="001C43D8">
        <w:rPr>
          <w:rFonts w:asciiTheme="minorHAnsi" w:eastAsia="Times New Roman" w:hAnsiTheme="minorHAnsi" w:cstheme="minorHAnsi"/>
        </w:rPr>
        <w:t>-sponsored National Carbon Capture Center is a world-class neutral research facility working to advance technologies to reduce greenhouse gas emissions from natural gas- and coal-based power plants. The center works with third-party developers to bridge the gap between laboratory research and large-scale demonstrations and provides realistic testing conditions plus the infrastructure to explore the most promising, cost-effective CO</w:t>
      </w:r>
      <w:r w:rsidRPr="001C43D8">
        <w:rPr>
          <w:rFonts w:asciiTheme="minorHAnsi" w:eastAsia="Times New Roman" w:hAnsiTheme="minorHAnsi" w:cstheme="minorHAnsi"/>
          <w:vertAlign w:val="subscript"/>
        </w:rPr>
        <w:t>2</w:t>
      </w:r>
      <w:r w:rsidRPr="001C43D8">
        <w:rPr>
          <w:rFonts w:asciiTheme="minorHAnsi" w:eastAsia="Times New Roman" w:hAnsiTheme="minorHAnsi" w:cstheme="minorHAnsi"/>
        </w:rPr>
        <w:t xml:space="preserve"> capture technologies.</w:t>
      </w:r>
    </w:p>
    <w:p w14:paraId="3A795059" w14:textId="5AE3A5B6"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Carbon Storage Assurance Facility Enterprise (</w:t>
      </w:r>
      <w:r w:rsidR="00F6577C">
        <w:rPr>
          <w:rFonts w:asciiTheme="minorHAnsi" w:eastAsia="Times New Roman" w:hAnsiTheme="minorHAnsi" w:cstheme="minorHAnsi"/>
          <w:b/>
          <w:i/>
        </w:rPr>
        <w:t>“</w:t>
      </w:r>
      <w:r w:rsidRPr="001C43D8">
        <w:rPr>
          <w:rFonts w:asciiTheme="minorHAnsi" w:eastAsia="Times New Roman" w:hAnsiTheme="minorHAnsi" w:cstheme="minorHAnsi"/>
          <w:b/>
          <w:i/>
        </w:rPr>
        <w:t>CarbonSAFE</w:t>
      </w:r>
      <w:r w:rsidR="00F6577C">
        <w:rPr>
          <w:rFonts w:asciiTheme="minorHAnsi" w:eastAsia="Times New Roman" w:hAnsiTheme="minorHAnsi" w:cstheme="minorHAnsi"/>
          <w:b/>
          <w:i/>
        </w:rPr>
        <w:t>”</w:t>
      </w:r>
      <w:r w:rsidRPr="001C43D8">
        <w:rPr>
          <w:rFonts w:asciiTheme="minorHAnsi" w:eastAsia="Times New Roman" w:hAnsiTheme="minorHAnsi" w:cstheme="minorHAnsi"/>
          <w:b/>
          <w:i/>
        </w:rPr>
        <w:t>)</w:t>
      </w:r>
      <w:r w:rsidRPr="001C43D8">
        <w:rPr>
          <w:rFonts w:asciiTheme="minorHAnsi" w:eastAsia="Times New Roman" w:hAnsiTheme="minorHAnsi" w:cstheme="minorHAnsi"/>
        </w:rPr>
        <w:t xml:space="preserve"> – This Southern States Energy Board project is drilling test wells and gathering subsurface data to assess the feasibility of CO</w:t>
      </w:r>
      <w:r w:rsidRPr="001C43D8">
        <w:rPr>
          <w:rFonts w:asciiTheme="minorHAnsi" w:eastAsia="Times New Roman" w:hAnsiTheme="minorHAnsi" w:cstheme="minorHAnsi"/>
          <w:vertAlign w:val="subscript"/>
        </w:rPr>
        <w:t>2</w:t>
      </w:r>
      <w:r w:rsidRPr="001C43D8">
        <w:rPr>
          <w:rFonts w:asciiTheme="minorHAnsi" w:eastAsia="Times New Roman" w:hAnsiTheme="minorHAnsi" w:cstheme="minorHAnsi"/>
        </w:rPr>
        <w:t xml:space="preserve"> storage in geologic formations in Kemper County, Mississippi. This data will be used to develop conceptual models for commercial-scale CO</w:t>
      </w:r>
      <w:r w:rsidRPr="001C43D8">
        <w:rPr>
          <w:rFonts w:asciiTheme="minorHAnsi" w:eastAsia="Times New Roman" w:hAnsiTheme="minorHAnsi" w:cstheme="minorHAnsi"/>
          <w:vertAlign w:val="subscript"/>
        </w:rPr>
        <w:t>2</w:t>
      </w:r>
      <w:r w:rsidRPr="001C43D8">
        <w:rPr>
          <w:rFonts w:asciiTheme="minorHAnsi" w:eastAsia="Times New Roman" w:hAnsiTheme="minorHAnsi" w:cstheme="minorHAnsi"/>
        </w:rPr>
        <w:t xml:space="preserve"> injection operations for the site or as a regional CO</w:t>
      </w:r>
      <w:r w:rsidRPr="001C43D8">
        <w:rPr>
          <w:rFonts w:asciiTheme="minorHAnsi" w:eastAsia="Times New Roman" w:hAnsiTheme="minorHAnsi" w:cstheme="minorHAnsi"/>
          <w:vertAlign w:val="subscript"/>
        </w:rPr>
        <w:t>2</w:t>
      </w:r>
      <w:r w:rsidRPr="001C43D8">
        <w:rPr>
          <w:rFonts w:asciiTheme="minorHAnsi" w:eastAsia="Times New Roman" w:hAnsiTheme="minorHAnsi" w:cstheme="minorHAnsi"/>
        </w:rPr>
        <w:t xml:space="preserve"> storage hub.</w:t>
      </w:r>
    </w:p>
    <w:p w14:paraId="5B0C439E" w14:textId="77777777" w:rsidR="00B93847" w:rsidRPr="001C43D8" w:rsidRDefault="00B93847" w:rsidP="00B93847">
      <w:pPr>
        <w:pStyle w:val="Heading3"/>
        <w:rPr>
          <w:rFonts w:eastAsia="Times New Roman"/>
        </w:rPr>
      </w:pPr>
      <w:r w:rsidRPr="001C43D8">
        <w:rPr>
          <w:rFonts w:eastAsia="Times New Roman"/>
        </w:rPr>
        <w:t xml:space="preserve">Generation Fleet: Environmental Controls and Sustainability </w:t>
      </w:r>
    </w:p>
    <w:p w14:paraId="008AE3B6" w14:textId="1A85786B" w:rsidR="00B93847" w:rsidRPr="001C43D8" w:rsidRDefault="00234F49" w:rsidP="00B93847">
      <w:pPr>
        <w:rPr>
          <w:rFonts w:asciiTheme="minorHAnsi" w:eastAsia="Times New Roman" w:hAnsiTheme="minorHAnsi" w:cstheme="minorHAnsi"/>
        </w:rPr>
      </w:pPr>
      <w:r>
        <w:rPr>
          <w:rFonts w:asciiTheme="minorHAnsi" w:eastAsia="Times New Roman" w:hAnsiTheme="minorHAnsi" w:cstheme="minorHAnsi"/>
        </w:rPr>
        <w:t>SCS R&amp;D</w:t>
      </w:r>
      <w:r w:rsidR="00B93847" w:rsidRPr="001C43D8">
        <w:rPr>
          <w:rFonts w:asciiTheme="minorHAnsi" w:eastAsia="Times New Roman" w:hAnsiTheme="minorHAnsi" w:cstheme="minorHAnsi"/>
        </w:rPr>
        <w:t xml:space="preserve"> is exploring new technologies to minimize compliance costs for current and future power plant emissions limitations. Activities focus on wastewater, solid waste, advanced particulate, sul</w:t>
      </w:r>
      <w:r w:rsidR="00F6577C">
        <w:rPr>
          <w:rFonts w:asciiTheme="minorHAnsi" w:eastAsia="Times New Roman" w:hAnsiTheme="minorHAnsi" w:cstheme="minorHAnsi"/>
        </w:rPr>
        <w:t>f</w:t>
      </w:r>
      <w:r w:rsidR="00B93847" w:rsidRPr="001C43D8">
        <w:rPr>
          <w:rFonts w:asciiTheme="minorHAnsi" w:eastAsia="Times New Roman" w:hAnsiTheme="minorHAnsi" w:cstheme="minorHAnsi"/>
        </w:rPr>
        <w:t>ur oxide (</w:t>
      </w:r>
      <w:r w:rsidR="00F6577C">
        <w:rPr>
          <w:rFonts w:asciiTheme="minorHAnsi" w:eastAsia="Times New Roman" w:hAnsiTheme="minorHAnsi" w:cstheme="minorHAnsi"/>
        </w:rPr>
        <w:t>“</w:t>
      </w:r>
      <w:r w:rsidR="00B93847" w:rsidRPr="001C43D8">
        <w:rPr>
          <w:rFonts w:asciiTheme="minorHAnsi" w:eastAsia="Times New Roman" w:hAnsiTheme="minorHAnsi" w:cstheme="minorHAnsi"/>
        </w:rPr>
        <w:t>S</w:t>
      </w:r>
      <w:r w:rsidR="00F6577C">
        <w:rPr>
          <w:rFonts w:asciiTheme="minorHAnsi" w:eastAsia="Times New Roman" w:hAnsiTheme="minorHAnsi" w:cstheme="minorHAnsi"/>
        </w:rPr>
        <w:t>O</w:t>
      </w:r>
      <w:r w:rsidR="00F6577C">
        <w:rPr>
          <w:rFonts w:asciiTheme="minorHAnsi" w:eastAsia="Times New Roman" w:hAnsiTheme="minorHAnsi" w:cstheme="minorHAnsi"/>
          <w:vertAlign w:val="subscript"/>
        </w:rPr>
        <w:t>X</w:t>
      </w:r>
      <w:r w:rsidR="00F6577C">
        <w:rPr>
          <w:rFonts w:asciiTheme="minorHAnsi" w:eastAsia="Times New Roman" w:hAnsiTheme="minorHAnsi" w:cstheme="minorHAnsi"/>
        </w:rPr>
        <w:t>”</w:t>
      </w:r>
      <w:r w:rsidR="00B93847" w:rsidRPr="001C43D8">
        <w:rPr>
          <w:rFonts w:asciiTheme="minorHAnsi" w:eastAsia="Times New Roman" w:hAnsiTheme="minorHAnsi" w:cstheme="minorHAnsi"/>
        </w:rPr>
        <w:t xml:space="preserve">), </w:t>
      </w:r>
      <w:r w:rsidR="00F6577C">
        <w:rPr>
          <w:rFonts w:asciiTheme="minorHAnsi" w:eastAsia="Times New Roman" w:hAnsiTheme="minorHAnsi" w:cstheme="minorHAnsi"/>
        </w:rPr>
        <w:t>NO</w:t>
      </w:r>
      <w:r w:rsidR="00F6577C">
        <w:rPr>
          <w:rFonts w:asciiTheme="minorHAnsi" w:eastAsia="Times New Roman" w:hAnsiTheme="minorHAnsi" w:cstheme="minorHAnsi"/>
          <w:vertAlign w:val="subscript"/>
        </w:rPr>
        <w:t>X</w:t>
      </w:r>
      <w:r w:rsidR="00B93847" w:rsidRPr="001C43D8">
        <w:rPr>
          <w:rFonts w:asciiTheme="minorHAnsi" w:eastAsia="Times New Roman" w:hAnsiTheme="minorHAnsi" w:cstheme="minorHAnsi"/>
        </w:rPr>
        <w:t>, CO</w:t>
      </w:r>
      <w:r w:rsidR="00B93847" w:rsidRPr="001C43D8">
        <w:rPr>
          <w:rFonts w:asciiTheme="minorHAnsi" w:eastAsia="Times New Roman" w:hAnsiTheme="minorHAnsi" w:cstheme="minorHAnsi"/>
          <w:vertAlign w:val="subscript"/>
        </w:rPr>
        <w:t>2</w:t>
      </w:r>
      <w:r w:rsidR="00B93847" w:rsidRPr="001C43D8">
        <w:rPr>
          <w:rFonts w:asciiTheme="minorHAnsi" w:eastAsia="Times New Roman" w:hAnsiTheme="minorHAnsi" w:cstheme="minorHAnsi"/>
        </w:rPr>
        <w:t xml:space="preserve">, mercury and air toxics management technologies. </w:t>
      </w:r>
      <w:r>
        <w:rPr>
          <w:rFonts w:asciiTheme="minorHAnsi" w:eastAsia="Times New Roman" w:hAnsiTheme="minorHAnsi" w:cstheme="minorHAnsi"/>
        </w:rPr>
        <w:t>SCS R&amp;D</w:t>
      </w:r>
      <w:r w:rsidR="00B93847" w:rsidRPr="001C43D8">
        <w:rPr>
          <w:rFonts w:asciiTheme="minorHAnsi" w:eastAsia="Times New Roman" w:hAnsiTheme="minorHAnsi" w:cstheme="minorHAnsi"/>
        </w:rPr>
        <w:t xml:space="preserve"> is also working on developing technologies that ensure water and fuel resources are utilized as efficiently as possible. Another focus of research involves developing technologies that provide new markets for products and byproducts, such as ash and gypsum. Example projects include:</w:t>
      </w:r>
    </w:p>
    <w:p w14:paraId="6B4E7264" w14:textId="276C13F0"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Water Research and Conservation Centers</w:t>
      </w:r>
      <w:r w:rsidRPr="001C43D8">
        <w:rPr>
          <w:rFonts w:asciiTheme="minorHAnsi" w:eastAsia="Times New Roman" w:hAnsiTheme="minorHAnsi" w:cstheme="minorHAnsi"/>
        </w:rPr>
        <w:t xml:space="preserve"> – Building on successful testing at the Water Research Center at Georgia Power’s Plant Bowen, Southern Company is expanding the focus of this research with the Water Research and Conservation Center (</w:t>
      </w:r>
      <w:r w:rsidR="00F6577C">
        <w:rPr>
          <w:rFonts w:asciiTheme="minorHAnsi" w:eastAsia="Times New Roman" w:hAnsiTheme="minorHAnsi" w:cstheme="minorHAnsi"/>
        </w:rPr>
        <w:t>“</w:t>
      </w:r>
      <w:r w:rsidRPr="001C43D8">
        <w:rPr>
          <w:rFonts w:asciiTheme="minorHAnsi" w:eastAsia="Times New Roman" w:hAnsiTheme="minorHAnsi" w:cstheme="minorHAnsi"/>
        </w:rPr>
        <w:t>WRCC</w:t>
      </w:r>
      <w:r w:rsidR="00F6577C">
        <w:rPr>
          <w:rFonts w:asciiTheme="minorHAnsi" w:eastAsia="Times New Roman" w:hAnsiTheme="minorHAnsi" w:cstheme="minorHAnsi"/>
        </w:rPr>
        <w:t>”</w:t>
      </w:r>
      <w:r w:rsidRPr="001C43D8">
        <w:rPr>
          <w:rFonts w:asciiTheme="minorHAnsi" w:eastAsia="Times New Roman" w:hAnsiTheme="minorHAnsi" w:cstheme="minorHAnsi"/>
        </w:rPr>
        <w:t xml:space="preserve">) located at Plant Bowen and Plant McDonough-Atkinson. This expansion will provide Southern Company and Georgia Power with the infrastructure to identify the most promising water technologies to better manage and conserve water across </w:t>
      </w:r>
      <w:r w:rsidR="007373ED">
        <w:rPr>
          <w:rFonts w:asciiTheme="minorHAnsi" w:eastAsia="Times New Roman" w:hAnsiTheme="minorHAnsi" w:cstheme="minorHAnsi"/>
        </w:rPr>
        <w:t>the Company’s</w:t>
      </w:r>
      <w:r w:rsidR="007373ED" w:rsidRPr="001C43D8">
        <w:rPr>
          <w:rFonts w:asciiTheme="minorHAnsi" w:eastAsia="Times New Roman" w:hAnsiTheme="minorHAnsi" w:cstheme="minorHAnsi"/>
        </w:rPr>
        <w:t xml:space="preserve"> </w:t>
      </w:r>
      <w:r w:rsidRPr="001C43D8">
        <w:rPr>
          <w:rFonts w:asciiTheme="minorHAnsi" w:eastAsia="Times New Roman" w:hAnsiTheme="minorHAnsi" w:cstheme="minorHAnsi"/>
        </w:rPr>
        <w:t xml:space="preserve">thermoelectric power generation sites – as well as achieve short- and long-term water management goals. </w:t>
      </w:r>
    </w:p>
    <w:p w14:paraId="3B8745CA" w14:textId="7777777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rPr>
        <w:t xml:space="preserve">The WRCC at Plant Bowen will maintain its focus on complying with environmental regulations, while continuing the testing and evaluation of pilot systems that are nearing commercialization. Since 2012, more than 50 technologies have been tested at Plant Bowen within seven key research areas. Of those tested, several successful technologies are being implemented across the energy industry and other industrial applications. </w:t>
      </w:r>
    </w:p>
    <w:p w14:paraId="4F8D2522" w14:textId="7777777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rPr>
        <w:t>The WRCC at Plant McDonough will promote advancements in power plant cooling systems leading to reduced freshwater withdrawal and consumption, as well as improved plant efficiency while optimizing total cost and energy generation. Work at Plant McDonough will provide the necessary resources and opportunities required to close the industry’s research gaps in cooling and heat transfer improvements.</w:t>
      </w:r>
    </w:p>
    <w:p w14:paraId="74D65F84" w14:textId="57D0CD8D"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Wastewater Treatment Demonstrations</w:t>
      </w:r>
      <w:r w:rsidRPr="001C43D8">
        <w:rPr>
          <w:rFonts w:asciiTheme="minorHAnsi" w:eastAsia="Times New Roman" w:hAnsiTheme="minorHAnsi" w:cstheme="minorHAnsi"/>
        </w:rPr>
        <w:t xml:space="preserve"> – Several technologies have been demonstrated across the Southern Company fleet to support compliance with EPA’s </w:t>
      </w:r>
      <w:r w:rsidR="00322CA3">
        <w:rPr>
          <w:rFonts w:asciiTheme="minorHAnsi" w:eastAsia="Times New Roman" w:hAnsiTheme="minorHAnsi" w:cstheme="minorHAnsi"/>
        </w:rPr>
        <w:t>ELG</w:t>
      </w:r>
      <w:r w:rsidRPr="001C43D8">
        <w:rPr>
          <w:rFonts w:asciiTheme="minorHAnsi" w:eastAsia="Times New Roman" w:hAnsiTheme="minorHAnsi" w:cstheme="minorHAnsi"/>
        </w:rPr>
        <w:t xml:space="preserve"> </w:t>
      </w:r>
      <w:r w:rsidR="00322CA3">
        <w:rPr>
          <w:rFonts w:asciiTheme="minorHAnsi" w:eastAsia="Times New Roman" w:hAnsiTheme="minorHAnsi" w:cstheme="minorHAnsi"/>
        </w:rPr>
        <w:t xml:space="preserve">rule </w:t>
      </w:r>
      <w:r w:rsidRPr="001C43D8">
        <w:rPr>
          <w:rFonts w:asciiTheme="minorHAnsi" w:eastAsia="Times New Roman" w:hAnsiTheme="minorHAnsi" w:cstheme="minorHAnsi"/>
        </w:rPr>
        <w:t>– including demonstration of a 25 gallons-per-minute biological treatment technology from Frontier Water Systems. Work has led to modifications of Frontier’s technology and has increased Southern Company’s understanding of operations and maintenance and staffing requirements.</w:t>
      </w:r>
    </w:p>
    <w:p w14:paraId="5F1B46CF" w14:textId="7AB8AEC3"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Byproduct Utilization</w:t>
      </w:r>
      <w:r w:rsidRPr="001C43D8">
        <w:rPr>
          <w:rFonts w:asciiTheme="minorHAnsi" w:eastAsia="Times New Roman" w:hAnsiTheme="minorHAnsi" w:cstheme="minorHAnsi"/>
        </w:rPr>
        <w:t xml:space="preserve"> – Beneficial use studies are focused on three areas: higher-value markets for existing saleable materials, new markets for off-spec materials (including ponded ash) and support for existing markets. Research into higher-value markets includes a collaboration with the University of North Dakota Energy and Environment Research Center investigating extraction of rare earth elements from Powder River Basin ash. Research to support existing markets includes a collaboration with the </w:t>
      </w:r>
      <w:r w:rsidR="007136B4">
        <w:rPr>
          <w:rFonts w:asciiTheme="minorHAnsi" w:eastAsia="Times New Roman" w:hAnsiTheme="minorHAnsi" w:cstheme="minorHAnsi"/>
        </w:rPr>
        <w:t>US</w:t>
      </w:r>
      <w:r w:rsidRPr="001C43D8">
        <w:rPr>
          <w:rFonts w:asciiTheme="minorHAnsi" w:eastAsia="Times New Roman" w:hAnsiTheme="minorHAnsi" w:cstheme="minorHAnsi"/>
        </w:rPr>
        <w:t xml:space="preserve"> Department of Agriculture and Duke Energy on agricultural uses of gypsum. Ongoing research at Georgia </w:t>
      </w:r>
      <w:r w:rsidR="00772218">
        <w:rPr>
          <w:rFonts w:asciiTheme="minorHAnsi" w:eastAsia="Times New Roman" w:hAnsiTheme="minorHAnsi" w:cstheme="minorHAnsi"/>
        </w:rPr>
        <w:t xml:space="preserve">Institute of </w:t>
      </w:r>
      <w:r w:rsidRPr="001C43D8">
        <w:rPr>
          <w:rFonts w:asciiTheme="minorHAnsi" w:eastAsia="Times New Roman" w:hAnsiTheme="minorHAnsi" w:cstheme="minorHAnsi"/>
        </w:rPr>
        <w:t>Tech</w:t>
      </w:r>
      <w:r w:rsidR="00772218">
        <w:rPr>
          <w:rFonts w:asciiTheme="minorHAnsi" w:eastAsia="Times New Roman" w:hAnsiTheme="minorHAnsi" w:cstheme="minorHAnsi"/>
        </w:rPr>
        <w:t>nology (“Georgia Tech”)</w:t>
      </w:r>
      <w:r w:rsidRPr="001C43D8">
        <w:rPr>
          <w:rFonts w:asciiTheme="minorHAnsi" w:eastAsia="Times New Roman" w:hAnsiTheme="minorHAnsi" w:cstheme="minorHAnsi"/>
        </w:rPr>
        <w:t xml:space="preserve"> includes support for beneficial use of ash in concrete, as well as novel uses for ponded and biomass ashes.</w:t>
      </w:r>
    </w:p>
    <w:p w14:paraId="347856C8" w14:textId="7845A2AB" w:rsidR="00B93847" w:rsidRPr="001C43D8" w:rsidRDefault="00B93847" w:rsidP="00B93847">
      <w:r w:rsidRPr="001C43D8">
        <w:rPr>
          <w:b/>
          <w:i/>
        </w:rPr>
        <w:t>Evaluation of Next-Generation Monitoring Systems</w:t>
      </w:r>
      <w:r w:rsidRPr="005D5D11">
        <w:t xml:space="preserve"> – </w:t>
      </w:r>
      <w:r w:rsidRPr="001C43D8">
        <w:t>Advanced monitoring systems for hydrogen chloride (</w:t>
      </w:r>
      <w:r w:rsidR="00A33453">
        <w:t>“</w:t>
      </w:r>
      <w:r w:rsidRPr="001C43D8">
        <w:t>HC</w:t>
      </w:r>
      <w:r w:rsidR="00F6577C">
        <w:t>l</w:t>
      </w:r>
      <w:r w:rsidR="00A33453">
        <w:t>”</w:t>
      </w:r>
      <w:r w:rsidRPr="001C43D8">
        <w:t xml:space="preserve">), </w:t>
      </w:r>
      <w:r w:rsidRPr="001C43D8">
        <w:rPr>
          <w:shd w:val="clear" w:color="auto" w:fill="FFFFFF"/>
        </w:rPr>
        <w:t>sulfur trioxide</w:t>
      </w:r>
      <w:r w:rsidRPr="001C43D8">
        <w:t xml:space="preserve"> (</w:t>
      </w:r>
      <w:r w:rsidR="00A33453">
        <w:t>“</w:t>
      </w:r>
      <w:r w:rsidRPr="001C43D8">
        <w:t>SO</w:t>
      </w:r>
      <w:r w:rsidRPr="001C43D8">
        <w:rPr>
          <w:vertAlign w:val="subscript"/>
        </w:rPr>
        <w:t>3</w:t>
      </w:r>
      <w:r w:rsidR="00A33453">
        <w:t>”)</w:t>
      </w:r>
      <w:r w:rsidRPr="001C43D8">
        <w:t xml:space="preserve"> and NH</w:t>
      </w:r>
      <w:r w:rsidRPr="001C43D8">
        <w:rPr>
          <w:vertAlign w:val="subscript"/>
        </w:rPr>
        <w:t>3</w:t>
      </w:r>
      <w:r w:rsidRPr="001C43D8">
        <w:t xml:space="preserve"> are needed to increase the effectiveness of sorbent injection systems and further lower O&amp;M costs at coal and gas plants. Southern Company evaluated cross-duct tunable diode lasers for HCl and NH</w:t>
      </w:r>
      <w:r w:rsidRPr="00124BCB">
        <w:rPr>
          <w:vertAlign w:val="subscript"/>
        </w:rPr>
        <w:t>3</w:t>
      </w:r>
      <w:r w:rsidRPr="001C43D8">
        <w:t xml:space="preserve"> at Alabama Power’s Plant Barry coal unit and Georgia Power’s Plant McIntosh combined-cycle unit, respectively. The technologies are showing promise for continuous monitoring of thes</w:t>
      </w:r>
      <w:r>
        <w:t>e constituents in the flue gas.</w:t>
      </w:r>
    </w:p>
    <w:p w14:paraId="07A5F97F" w14:textId="77777777" w:rsidR="00B93847" w:rsidRPr="001C43D8" w:rsidRDefault="00B93847" w:rsidP="00B93847">
      <w:pPr>
        <w:pStyle w:val="Heading3"/>
        <w:rPr>
          <w:rFonts w:eastAsia="Times New Roman"/>
        </w:rPr>
      </w:pPr>
      <w:r w:rsidRPr="001C43D8">
        <w:rPr>
          <w:rFonts w:eastAsia="Times New Roman"/>
        </w:rPr>
        <w:t>Advanced Energy Systems</w:t>
      </w:r>
    </w:p>
    <w:p w14:paraId="05613184" w14:textId="51379CD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 xml:space="preserve">Molten Chloride Fast Reactor </w:t>
      </w:r>
      <w:r w:rsidR="005D5D11">
        <w:rPr>
          <w:rFonts w:asciiTheme="minorHAnsi" w:eastAsia="Times New Roman" w:hAnsiTheme="minorHAnsi" w:cstheme="minorHAnsi"/>
        </w:rPr>
        <w:t>–</w:t>
      </w:r>
      <w:r w:rsidRPr="001C43D8">
        <w:rPr>
          <w:rFonts w:asciiTheme="minorHAnsi" w:eastAsia="Times New Roman" w:hAnsiTheme="minorHAnsi" w:cstheme="minorHAnsi"/>
        </w:rPr>
        <w:t xml:space="preserve"> Efforts to advance Generation-IV nuclear include a collaborative between Southern Company, TerraPower, EPRI, Oak Ridge National Laboratory, Idaho National Laboratory and Vanderbilt University to support design and construction of an Integrated Effects Test for the molten chloride fast reactor (</w:t>
      </w:r>
      <w:r w:rsidR="00A33453">
        <w:rPr>
          <w:rFonts w:asciiTheme="minorHAnsi" w:eastAsia="Times New Roman" w:hAnsiTheme="minorHAnsi" w:cstheme="minorHAnsi"/>
        </w:rPr>
        <w:t>“</w:t>
      </w:r>
      <w:r w:rsidRPr="001C43D8">
        <w:rPr>
          <w:rFonts w:asciiTheme="minorHAnsi" w:eastAsia="Times New Roman" w:hAnsiTheme="minorHAnsi" w:cstheme="minorHAnsi"/>
        </w:rPr>
        <w:t>MCFR</w:t>
      </w:r>
      <w:r w:rsidR="00A33453">
        <w:rPr>
          <w:rFonts w:asciiTheme="minorHAnsi" w:eastAsia="Times New Roman" w:hAnsiTheme="minorHAnsi" w:cstheme="minorHAnsi"/>
        </w:rPr>
        <w:t>”</w:t>
      </w:r>
      <w:r w:rsidRPr="001C43D8">
        <w:rPr>
          <w:rFonts w:asciiTheme="minorHAnsi" w:eastAsia="Times New Roman" w:hAnsiTheme="minorHAnsi" w:cstheme="minorHAnsi"/>
        </w:rPr>
        <w:t xml:space="preserve">). The MCFR has the potential to produce high-quality, sustainable energy at low cost with inherent safety and reliability, a low waste profile, polygeneration benefits and enhanced security. </w:t>
      </w:r>
    </w:p>
    <w:p w14:paraId="7CB54727" w14:textId="00666A2A"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Hydrogen Economy</w:t>
      </w:r>
      <w:r w:rsidRPr="001C43D8">
        <w:rPr>
          <w:rFonts w:asciiTheme="minorHAnsi" w:eastAsia="Times New Roman" w:hAnsiTheme="minorHAnsi" w:cstheme="minorHAnsi"/>
        </w:rPr>
        <w:t xml:space="preserve"> – Southern Company is engaging domestically and internationally through hydrogen R&amp;D projects and collaboration with the International Energy Agency Hydrogen Implementing Agreement, EPRI (Technology Innovation and Energy Storage Programs), the </w:t>
      </w:r>
      <w:r w:rsidR="007136B4">
        <w:rPr>
          <w:rFonts w:asciiTheme="minorHAnsi" w:eastAsia="Times New Roman" w:hAnsiTheme="minorHAnsi" w:cstheme="minorHAnsi"/>
        </w:rPr>
        <w:t>US</w:t>
      </w:r>
      <w:r w:rsidRPr="001C43D8">
        <w:rPr>
          <w:rFonts w:asciiTheme="minorHAnsi" w:eastAsia="Times New Roman" w:hAnsiTheme="minorHAnsi" w:cstheme="minorHAnsi"/>
        </w:rPr>
        <w:t xml:space="preserve"> Department of Energy and its national laboratories, technology developers, industrial gas companies and hydrogen users. Focus areas include hydrogen production and markets from curtailed renewables, liquid hydrogen carrier to meet system hydrogen needs and meeting hydrogen energy needs of emerging markets such as distributed generation.</w:t>
      </w:r>
    </w:p>
    <w:p w14:paraId="517797D5" w14:textId="77777777" w:rsidR="00B93847" w:rsidRPr="001C43D8" w:rsidRDefault="00B93847" w:rsidP="00B93847">
      <w:pPr>
        <w:pStyle w:val="Heading3"/>
        <w:rPr>
          <w:rFonts w:eastAsia="Times New Roman"/>
        </w:rPr>
      </w:pPr>
      <w:bookmarkStart w:id="303" w:name="_Toc441582999"/>
      <w:r w:rsidRPr="001C43D8">
        <w:rPr>
          <w:rFonts w:eastAsia="Times New Roman"/>
        </w:rPr>
        <w:t>Energy End-Use Research</w:t>
      </w:r>
      <w:bookmarkEnd w:id="303"/>
      <w:r w:rsidRPr="001C43D8">
        <w:rPr>
          <w:rFonts w:eastAsia="Times New Roman"/>
        </w:rPr>
        <w:t xml:space="preserve">  </w:t>
      </w:r>
    </w:p>
    <w:p w14:paraId="7408992C" w14:textId="7777777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rPr>
        <w:t>The Energy End-Use Program works to provide customer-focused technologies and technical information to support the operating companies’ efforts to sustain and grow profitable electric energy sales, promote energy efficiency and economic development and enhance customer satisfaction. Examples of Energy End-Use programs are provided below:</w:t>
      </w:r>
    </w:p>
    <w:p w14:paraId="08E9222D" w14:textId="5BAD9ACF" w:rsidR="00B93847" w:rsidRPr="001C43D8" w:rsidRDefault="00B93847" w:rsidP="00B93847">
      <w:pPr>
        <w:rPr>
          <w:rFonts w:asciiTheme="minorHAnsi" w:hAnsiTheme="minorHAnsi" w:cstheme="minorHAnsi"/>
        </w:rPr>
      </w:pPr>
      <w:r w:rsidRPr="001C43D8">
        <w:rPr>
          <w:rFonts w:asciiTheme="minorHAnsi" w:hAnsiTheme="minorHAnsi" w:cstheme="minorHAnsi"/>
          <w:b/>
          <w:i/>
        </w:rPr>
        <w:t>Smart Neighborhood</w:t>
      </w:r>
      <w:r w:rsidRPr="001C43D8">
        <w:rPr>
          <w:rFonts w:asciiTheme="minorHAnsi" w:hAnsiTheme="minorHAnsi" w:cstheme="minorHAnsi"/>
        </w:rPr>
        <w:t xml:space="preserve"> – Developed by </w:t>
      </w:r>
      <w:r w:rsidR="00234F49">
        <w:rPr>
          <w:rFonts w:asciiTheme="minorHAnsi" w:hAnsiTheme="minorHAnsi" w:cstheme="minorHAnsi"/>
        </w:rPr>
        <w:t>SCS R&amp;D</w:t>
      </w:r>
      <w:r w:rsidRPr="001C43D8">
        <w:rPr>
          <w:rFonts w:asciiTheme="minorHAnsi" w:hAnsiTheme="minorHAnsi" w:cstheme="minorHAnsi"/>
        </w:rPr>
        <w:t xml:space="preserve"> to demonstrate the interconnectivity of distributed resources and end-use technologies, these two projects focus on separate community sizes and microgrid configurations where resources are shared and managed to provide cost savings to the customer and new utility business models. Alabama Power’s Smart Neighborhood was completed in 2018 and the two-year </w:t>
      </w:r>
      <w:r w:rsidR="00234F49">
        <w:rPr>
          <w:rFonts w:asciiTheme="minorHAnsi" w:hAnsiTheme="minorHAnsi" w:cstheme="minorHAnsi"/>
        </w:rPr>
        <w:t>SCS R&amp;D</w:t>
      </w:r>
      <w:r w:rsidRPr="001C43D8">
        <w:rPr>
          <w:rFonts w:asciiTheme="minorHAnsi" w:hAnsiTheme="minorHAnsi" w:cstheme="minorHAnsi"/>
        </w:rPr>
        <w:t xml:space="preserve"> effort into the opportunities </w:t>
      </w:r>
      <w:r w:rsidR="0056395F" w:rsidRPr="001C43D8">
        <w:rPr>
          <w:rFonts w:asciiTheme="minorHAnsi" w:hAnsiTheme="minorHAnsi" w:cstheme="minorHAnsi"/>
        </w:rPr>
        <w:t>it</w:t>
      </w:r>
      <w:r w:rsidRPr="001C43D8">
        <w:rPr>
          <w:rFonts w:asciiTheme="minorHAnsi" w:hAnsiTheme="minorHAnsi" w:cstheme="minorHAnsi"/>
        </w:rPr>
        <w:t xml:space="preserve"> provides is underway. Construction on the Georgia Power </w:t>
      </w:r>
      <w:r w:rsidRPr="001C43D8">
        <w:rPr>
          <w:rFonts w:asciiTheme="minorHAnsi" w:eastAsia="Times New Roman" w:hAnsiTheme="minorHAnsi" w:cstheme="minorHAnsi"/>
        </w:rPr>
        <w:t>community</w:t>
      </w:r>
      <w:r w:rsidRPr="001C43D8">
        <w:rPr>
          <w:rFonts w:asciiTheme="minorHAnsi" w:hAnsiTheme="minorHAnsi" w:cstheme="minorHAnsi"/>
        </w:rPr>
        <w:t xml:space="preserve"> has begun.</w:t>
      </w:r>
    </w:p>
    <w:p w14:paraId="72D0CF1E" w14:textId="227E7B13" w:rsidR="00B93847" w:rsidRPr="001C43D8" w:rsidRDefault="00F46532" w:rsidP="00B93847">
      <w:pPr>
        <w:rPr>
          <w:rFonts w:asciiTheme="minorHAnsi" w:hAnsiTheme="minorHAnsi" w:cstheme="minorHAnsi"/>
          <w:u w:val="single"/>
        </w:rPr>
      </w:pPr>
      <w:r w:rsidRPr="00F46532">
        <w:rPr>
          <w:rFonts w:asciiTheme="minorHAnsi" w:hAnsiTheme="minorHAnsi" w:cstheme="minorHAnsi"/>
          <w:b/>
          <w:i/>
        </w:rPr>
        <w:t>Automated Metering Infrastructure</w:t>
      </w:r>
      <w:r>
        <w:rPr>
          <w:rFonts w:asciiTheme="minorHAnsi" w:hAnsiTheme="minorHAnsi" w:cstheme="minorHAnsi"/>
          <w:b/>
          <w:i/>
        </w:rPr>
        <w:t xml:space="preserve"> (“AMI”)</w:t>
      </w:r>
      <w:r w:rsidR="00B93847" w:rsidRPr="001C43D8">
        <w:rPr>
          <w:rFonts w:asciiTheme="minorHAnsi" w:hAnsiTheme="minorHAnsi" w:cstheme="minorHAnsi"/>
          <w:b/>
          <w:i/>
        </w:rPr>
        <w:t xml:space="preserve"> Data Analytics</w:t>
      </w:r>
      <w:r w:rsidR="00B93847" w:rsidRPr="001C43D8">
        <w:rPr>
          <w:rFonts w:asciiTheme="minorHAnsi" w:hAnsiTheme="minorHAnsi" w:cstheme="minorHAnsi"/>
        </w:rPr>
        <w:t xml:space="preserve"> – Southern Company will be conducting a comprehensive data analytics pilot of 10,000 homes to identify additional value that we can derive from the large amounts of data we currently collect. The project will explore the technical feasibility of detecting major residential end-uses and whether they are operating normally with only AMI data. If successful, this will enable Southern Company to potentially offer fault detection and diagnostic services to customers and allow Southern Company to better understand and communicate with individual customers.</w:t>
      </w:r>
    </w:p>
    <w:p w14:paraId="4FA6A9A2" w14:textId="05140F7B" w:rsidR="00B93847" w:rsidRPr="001C43D8" w:rsidRDefault="00B93847" w:rsidP="00B93847">
      <w:pPr>
        <w:rPr>
          <w:rFonts w:asciiTheme="minorHAnsi" w:hAnsiTheme="minorHAnsi" w:cstheme="minorHAnsi"/>
        </w:rPr>
      </w:pPr>
      <w:r w:rsidRPr="001C43D8">
        <w:rPr>
          <w:rFonts w:asciiTheme="minorHAnsi" w:hAnsiTheme="minorHAnsi" w:cstheme="minorHAnsi"/>
          <w:b/>
          <w:i/>
        </w:rPr>
        <w:t>Indoor Agriculture</w:t>
      </w:r>
      <w:r w:rsidRPr="001C43D8">
        <w:rPr>
          <w:rFonts w:asciiTheme="minorHAnsi" w:hAnsiTheme="minorHAnsi" w:cstheme="minorHAnsi"/>
        </w:rPr>
        <w:t xml:space="preserve"> – These typically all-electric facilities offer significant load growth, economic development, water conservation and food availability benefits. Demonstration facilities run by </w:t>
      </w:r>
      <w:r w:rsidR="00234F49">
        <w:rPr>
          <w:rFonts w:asciiTheme="minorHAnsi" w:hAnsiTheme="minorHAnsi" w:cstheme="minorHAnsi"/>
        </w:rPr>
        <w:t>SCS R&amp;D</w:t>
      </w:r>
      <w:r w:rsidRPr="001C43D8">
        <w:rPr>
          <w:rFonts w:asciiTheme="minorHAnsi" w:hAnsiTheme="minorHAnsi" w:cstheme="minorHAnsi"/>
        </w:rPr>
        <w:t xml:space="preserve"> staff are improving throughput and cost-effectiveness to increase attractiveness to customers. </w:t>
      </w:r>
      <w:r w:rsidR="00234F49">
        <w:rPr>
          <w:rFonts w:asciiTheme="minorHAnsi" w:hAnsiTheme="minorHAnsi" w:cstheme="minorHAnsi"/>
        </w:rPr>
        <w:t>SCS R&amp;D</w:t>
      </w:r>
      <w:r w:rsidRPr="001C43D8">
        <w:rPr>
          <w:rFonts w:asciiTheme="minorHAnsi" w:hAnsiTheme="minorHAnsi" w:cstheme="minorHAnsi"/>
        </w:rPr>
        <w:t xml:space="preserve"> is working with universities and other entities on optimizing the wavelength of grow lights, evaluating the environmental impacts and improving product transportation.  </w:t>
      </w:r>
    </w:p>
    <w:p w14:paraId="47C68FE1" w14:textId="47D67A45" w:rsidR="00B93847" w:rsidRPr="001C43D8" w:rsidRDefault="00B93847" w:rsidP="00B93847">
      <w:pPr>
        <w:rPr>
          <w:rFonts w:asciiTheme="minorHAnsi" w:hAnsiTheme="minorHAnsi" w:cstheme="minorHAnsi"/>
          <w:b/>
        </w:rPr>
      </w:pPr>
      <w:r w:rsidRPr="001C43D8">
        <w:rPr>
          <w:rFonts w:asciiTheme="minorHAnsi" w:hAnsiTheme="minorHAnsi" w:cstheme="minorHAnsi"/>
          <w:b/>
          <w:i/>
        </w:rPr>
        <w:t>Electrotechnologies for Industrial Waste Treatment</w:t>
      </w:r>
      <w:r w:rsidRPr="001C43D8">
        <w:rPr>
          <w:rFonts w:asciiTheme="minorHAnsi" w:hAnsiTheme="minorHAnsi" w:cstheme="minorHAnsi"/>
        </w:rPr>
        <w:t xml:space="preserve"> – </w:t>
      </w:r>
      <w:r w:rsidR="007136B4">
        <w:rPr>
          <w:rFonts w:asciiTheme="minorHAnsi" w:hAnsiTheme="minorHAnsi" w:cstheme="minorHAnsi"/>
        </w:rPr>
        <w:t>US</w:t>
      </w:r>
      <w:r w:rsidRPr="001C43D8">
        <w:rPr>
          <w:rFonts w:asciiTheme="minorHAnsi" w:hAnsiTheme="minorHAnsi" w:cstheme="minorHAnsi"/>
        </w:rPr>
        <w:t xml:space="preserve"> </w:t>
      </w:r>
      <w:r w:rsidR="007D09A4">
        <w:rPr>
          <w:rFonts w:asciiTheme="minorHAnsi" w:hAnsiTheme="minorHAnsi" w:cstheme="minorHAnsi"/>
        </w:rPr>
        <w:t>industries are</w:t>
      </w:r>
      <w:r w:rsidRPr="001C43D8">
        <w:rPr>
          <w:rFonts w:asciiTheme="minorHAnsi" w:hAnsiTheme="minorHAnsi" w:cstheme="minorHAnsi"/>
        </w:rPr>
        <w:t xml:space="preserve"> faced with new challenges as the costs and liabilities associated with waste management continue to escalate due to evolving regulations. This research area is identifying and investigating promising electrotechnologies for solid waste management, air control applications and water treatment. </w:t>
      </w:r>
    </w:p>
    <w:p w14:paraId="278A9763" w14:textId="22DCDDB4" w:rsidR="00B93847" w:rsidRPr="001C43D8" w:rsidRDefault="00B93847" w:rsidP="00B93847">
      <w:pPr>
        <w:rPr>
          <w:rFonts w:asciiTheme="minorHAnsi" w:hAnsiTheme="minorHAnsi" w:cstheme="minorHAnsi"/>
        </w:rPr>
      </w:pPr>
      <w:r w:rsidRPr="001C43D8">
        <w:rPr>
          <w:rFonts w:asciiTheme="minorHAnsi" w:hAnsiTheme="minorHAnsi" w:cstheme="minorHAnsi"/>
          <w:b/>
          <w:i/>
        </w:rPr>
        <w:t>Heavy-Duty Electric Vehicle (</w:t>
      </w:r>
      <w:r w:rsidR="00A33453">
        <w:rPr>
          <w:rFonts w:asciiTheme="minorHAnsi" w:hAnsiTheme="minorHAnsi" w:cstheme="minorHAnsi"/>
          <w:b/>
          <w:i/>
        </w:rPr>
        <w:t>“</w:t>
      </w:r>
      <w:r w:rsidRPr="001C43D8">
        <w:rPr>
          <w:rFonts w:asciiTheme="minorHAnsi" w:hAnsiTheme="minorHAnsi" w:cstheme="minorHAnsi"/>
          <w:b/>
          <w:i/>
        </w:rPr>
        <w:t>EV</w:t>
      </w:r>
      <w:r w:rsidR="00A33453">
        <w:rPr>
          <w:rFonts w:asciiTheme="minorHAnsi" w:hAnsiTheme="minorHAnsi" w:cstheme="minorHAnsi"/>
          <w:b/>
          <w:i/>
        </w:rPr>
        <w:t>”</w:t>
      </w:r>
      <w:r w:rsidRPr="001C43D8">
        <w:rPr>
          <w:rFonts w:asciiTheme="minorHAnsi" w:hAnsiTheme="minorHAnsi" w:cstheme="minorHAnsi"/>
          <w:b/>
          <w:i/>
        </w:rPr>
        <w:t>) Charging Hardware Development</w:t>
      </w:r>
      <w:r w:rsidRPr="001C43D8">
        <w:rPr>
          <w:rFonts w:asciiTheme="minorHAnsi" w:hAnsiTheme="minorHAnsi" w:cstheme="minorHAnsi"/>
        </w:rPr>
        <w:t xml:space="preserve"> – EV manufacturers are working toward the development of vehicle chargers capable of 4.5</w:t>
      </w:r>
      <w:r w:rsidR="0056395F">
        <w:rPr>
          <w:rFonts w:asciiTheme="minorHAnsi" w:hAnsiTheme="minorHAnsi" w:cstheme="minorHAnsi"/>
        </w:rPr>
        <w:t xml:space="preserve"> </w:t>
      </w:r>
      <w:r w:rsidRPr="001C43D8">
        <w:rPr>
          <w:rFonts w:asciiTheme="minorHAnsi" w:hAnsiTheme="minorHAnsi" w:cstheme="minorHAnsi"/>
        </w:rPr>
        <w:t>MW power levels to support the electrification of semi-trucks, buses and other heavy-duty vehicles. Currently available charging technology typically operates at power levels of 500</w:t>
      </w:r>
      <w:r w:rsidR="0056395F">
        <w:rPr>
          <w:rFonts w:asciiTheme="minorHAnsi" w:hAnsiTheme="minorHAnsi" w:cstheme="minorHAnsi"/>
        </w:rPr>
        <w:t xml:space="preserve"> k</w:t>
      </w:r>
      <w:r w:rsidRPr="001C43D8">
        <w:rPr>
          <w:rFonts w:asciiTheme="minorHAnsi" w:hAnsiTheme="minorHAnsi" w:cstheme="minorHAnsi"/>
        </w:rPr>
        <w:t>W and below. This project seeks to advance the design, standardization and testing of new hardware approaches to charging at higher (target of 4.5</w:t>
      </w:r>
      <w:r w:rsidR="0056395F">
        <w:rPr>
          <w:rFonts w:asciiTheme="minorHAnsi" w:hAnsiTheme="minorHAnsi" w:cstheme="minorHAnsi"/>
        </w:rPr>
        <w:t xml:space="preserve"> </w:t>
      </w:r>
      <w:r w:rsidRPr="001C43D8">
        <w:rPr>
          <w:rFonts w:asciiTheme="minorHAnsi" w:hAnsiTheme="minorHAnsi" w:cstheme="minorHAnsi"/>
        </w:rPr>
        <w:t xml:space="preserve">MW) power levels. </w:t>
      </w:r>
    </w:p>
    <w:p w14:paraId="0ADE72FB" w14:textId="77777777" w:rsidR="00B93847" w:rsidRPr="001C43D8" w:rsidRDefault="00B93847" w:rsidP="00B93847">
      <w:pPr>
        <w:rPr>
          <w:rFonts w:asciiTheme="minorHAnsi" w:hAnsiTheme="minorHAnsi" w:cstheme="minorHAnsi"/>
        </w:rPr>
      </w:pPr>
      <w:r w:rsidRPr="001C43D8">
        <w:rPr>
          <w:rFonts w:asciiTheme="minorHAnsi" w:hAnsiTheme="minorHAnsi" w:cstheme="minorHAnsi"/>
          <w:b/>
          <w:i/>
        </w:rPr>
        <w:t>EV Charging Network Interoperability</w:t>
      </w:r>
      <w:r w:rsidRPr="001C43D8">
        <w:rPr>
          <w:rFonts w:asciiTheme="minorHAnsi" w:hAnsiTheme="minorHAnsi" w:cstheme="minorHAnsi"/>
        </w:rPr>
        <w:t xml:space="preserve"> – This project will develop and demonstrate interoperability between various charging networks and vehicle manufacturers. The goal is to improve the EV charging customer experience by allowing the use of one account across the various networks. This will reduce confusion of where charging stations are available and drive adoption of electric vehicles. This project will conclude with a demonstration of at least three automotive OEMs and two network operators participating in successful charging events. </w:t>
      </w:r>
    </w:p>
    <w:p w14:paraId="12EDBBA3" w14:textId="77777777" w:rsidR="00B93847" w:rsidRPr="001C43D8" w:rsidRDefault="00B93847" w:rsidP="00B93847">
      <w:pPr>
        <w:rPr>
          <w:rFonts w:asciiTheme="minorHAnsi" w:hAnsiTheme="minorHAnsi" w:cstheme="minorHAnsi"/>
        </w:rPr>
      </w:pPr>
      <w:r w:rsidRPr="001C43D8">
        <w:rPr>
          <w:rFonts w:asciiTheme="minorHAnsi" w:hAnsiTheme="minorHAnsi" w:cstheme="minorHAnsi"/>
          <w:b/>
          <w:i/>
        </w:rPr>
        <w:t>Smart Cities</w:t>
      </w:r>
      <w:r w:rsidRPr="001C43D8">
        <w:rPr>
          <w:rFonts w:asciiTheme="minorHAnsi" w:hAnsiTheme="minorHAnsi" w:cstheme="minorHAnsi"/>
        </w:rPr>
        <w:t xml:space="preserve"> – Increased urbanization has driven communities to seek new solutions to improve safety, sustainability and reliability for energy, transportation, water and other utility services. Improvements in information and communication technologies and the smart and connected use of these technologies offer a pathway for cities to develop systems that deliver these solutions. As these trends continue and smart cities initiatives develop, electric utilities are becoming “digital utilities,” uniquely positioned to support smart city goals with their communication networks and vertical infrastructure acting as the foundation. This project evaluates and tests smart city technologies that create opportunities to leverage existing assets allowing development of new business opportunities.</w:t>
      </w:r>
    </w:p>
    <w:p w14:paraId="45441563" w14:textId="7777777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Industrial Energy Efficiency Program</w:t>
      </w:r>
      <w:r w:rsidRPr="005D5D11">
        <w:rPr>
          <w:rFonts w:asciiTheme="minorHAnsi" w:eastAsia="Times New Roman" w:hAnsiTheme="minorHAnsi" w:cstheme="minorHAnsi"/>
          <w:i/>
        </w:rPr>
        <w:t xml:space="preserve"> –</w:t>
      </w:r>
      <w:r w:rsidRPr="005D5D11">
        <w:rPr>
          <w:rFonts w:asciiTheme="minorHAnsi" w:eastAsia="Times New Roman" w:hAnsiTheme="minorHAnsi" w:cstheme="minorHAnsi"/>
        </w:rPr>
        <w:t xml:space="preserve"> </w:t>
      </w:r>
      <w:r w:rsidRPr="001C43D8">
        <w:rPr>
          <w:rFonts w:asciiTheme="minorHAnsi" w:eastAsia="Times New Roman" w:hAnsiTheme="minorHAnsi" w:cstheme="minorHAnsi"/>
        </w:rPr>
        <w:t xml:space="preserve">This program brings new industrial electrotechnologies or new applications of existing technologies to the market. One example would be additive manufacturing (3-D printing) to enhance manufacturing within the service territory.  </w:t>
      </w:r>
    </w:p>
    <w:p w14:paraId="5FF54124" w14:textId="7777777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 xml:space="preserve">Building Energy Efficiency Program </w:t>
      </w:r>
      <w:r w:rsidRPr="005D5D11">
        <w:rPr>
          <w:rFonts w:asciiTheme="minorHAnsi" w:eastAsia="Times New Roman" w:hAnsiTheme="minorHAnsi" w:cstheme="minorHAnsi"/>
          <w:i/>
        </w:rPr>
        <w:t>–</w:t>
      </w:r>
      <w:r w:rsidRPr="001C43D8">
        <w:rPr>
          <w:rFonts w:asciiTheme="minorHAnsi" w:eastAsia="Times New Roman" w:hAnsiTheme="minorHAnsi" w:cstheme="minorHAnsi"/>
        </w:rPr>
        <w:t xml:space="preserve"> The purpose of this program is to identify, assess and demonstrate new energy-efficient technologies and software products for application in building design, energy-related HVAC, water heating, lighting, appliances and building structures.</w:t>
      </w:r>
    </w:p>
    <w:p w14:paraId="5ED0FB89" w14:textId="46CFB8B5" w:rsidR="00B93847" w:rsidRPr="001C43D8" w:rsidRDefault="00B93847" w:rsidP="00B93847">
      <w:r w:rsidRPr="001C43D8">
        <w:rPr>
          <w:b/>
          <w:i/>
        </w:rPr>
        <w:t xml:space="preserve">Power Quality (PQ) Program </w:t>
      </w:r>
      <w:r w:rsidRPr="005D5D11">
        <w:rPr>
          <w:i/>
        </w:rPr>
        <w:t>–</w:t>
      </w:r>
      <w:r w:rsidRPr="001C43D8">
        <w:t xml:space="preserve"> The PQ program identifies, assesses and demonstrates new PQ technologies that will increase customer productivity by providing for point-of-use enhanced PQ and assist personnel with troubleshooting and analysis. This program evaluates other end-use technologies and their PQ impacts to the power delivery system.</w:t>
      </w:r>
      <w:r w:rsidRPr="001C43D8">
        <w:rPr>
          <w:b/>
        </w:rPr>
        <w:t xml:space="preserve"> </w:t>
      </w:r>
      <w:r w:rsidRPr="001C43D8">
        <w:t>The PQ Analysis Tools are used for troubleshooting harmonics, characterizing voltage sag waveforms, automatic distribution capacitor analysis and geomagnetically induced currents.</w:t>
      </w:r>
    </w:p>
    <w:p w14:paraId="124EA178" w14:textId="77777777" w:rsidR="00B93847" w:rsidRPr="001C43D8" w:rsidRDefault="00B93847" w:rsidP="00B93847">
      <w:pPr>
        <w:pStyle w:val="Heading3"/>
        <w:rPr>
          <w:rFonts w:eastAsia="Times New Roman"/>
        </w:rPr>
      </w:pPr>
      <w:bookmarkStart w:id="304" w:name="_Toc441583000"/>
      <w:r w:rsidRPr="001C43D8">
        <w:rPr>
          <w:rFonts w:eastAsia="Times New Roman"/>
        </w:rPr>
        <w:t xml:space="preserve">Power Delivery </w:t>
      </w:r>
      <w:bookmarkEnd w:id="304"/>
      <w:r w:rsidRPr="001C43D8">
        <w:rPr>
          <w:rFonts w:eastAsia="Times New Roman"/>
        </w:rPr>
        <w:t xml:space="preserve"> </w:t>
      </w:r>
    </w:p>
    <w:p w14:paraId="6D95453E" w14:textId="7892F4B1" w:rsidR="00B93847" w:rsidRPr="001C43D8" w:rsidRDefault="00B93847" w:rsidP="00B93847">
      <w:pPr>
        <w:rPr>
          <w:rFonts w:asciiTheme="minorHAnsi" w:eastAsia="Times New Roman" w:hAnsiTheme="minorHAnsi" w:cstheme="minorHAnsi"/>
          <w:b/>
          <w:bCs/>
          <w:color w:val="FF0000"/>
        </w:rPr>
      </w:pPr>
      <w:r w:rsidRPr="001C43D8">
        <w:rPr>
          <w:rFonts w:asciiTheme="minorHAnsi" w:eastAsia="Times New Roman" w:hAnsiTheme="minorHAnsi" w:cstheme="minorHAnsi"/>
        </w:rPr>
        <w:t xml:space="preserve">The Power Delivery, or </w:t>
      </w:r>
      <w:r w:rsidR="00870EF8">
        <w:rPr>
          <w:rFonts w:asciiTheme="minorHAnsi" w:eastAsia="Times New Roman" w:hAnsiTheme="minorHAnsi" w:cstheme="minorHAnsi"/>
        </w:rPr>
        <w:t>T&amp;D</w:t>
      </w:r>
      <w:r w:rsidRPr="001C43D8">
        <w:rPr>
          <w:rFonts w:asciiTheme="minorHAnsi" w:eastAsia="Times New Roman" w:hAnsiTheme="minorHAnsi" w:cstheme="minorHAnsi"/>
        </w:rPr>
        <w:t xml:space="preserve">, Program works to develop and deploy the next generation of </w:t>
      </w:r>
      <w:r w:rsidR="00870EF8">
        <w:rPr>
          <w:rFonts w:asciiTheme="minorHAnsi" w:eastAsia="Times New Roman" w:hAnsiTheme="minorHAnsi" w:cstheme="minorHAnsi"/>
        </w:rPr>
        <w:t>T&amp;D</w:t>
      </w:r>
      <w:r w:rsidRPr="001C43D8">
        <w:rPr>
          <w:rFonts w:asciiTheme="minorHAnsi" w:eastAsia="Times New Roman" w:hAnsiTheme="minorHAnsi" w:cstheme="minorHAnsi"/>
        </w:rPr>
        <w:t xml:space="preserve"> technologies to improve reliability and resiliency, reduce cost and modernize the grid. Following are some examples of these efforts: </w:t>
      </w:r>
    </w:p>
    <w:p w14:paraId="128E54C3" w14:textId="6DA299E1" w:rsidR="00B93847" w:rsidRPr="001C43D8" w:rsidRDefault="00B93847" w:rsidP="00B93847">
      <w:pPr>
        <w:rPr>
          <w:rFonts w:asciiTheme="minorHAnsi" w:hAnsiTheme="minorHAnsi" w:cstheme="minorHAnsi"/>
        </w:rPr>
      </w:pPr>
      <w:r w:rsidRPr="001C43D8">
        <w:rPr>
          <w:rFonts w:asciiTheme="minorHAnsi" w:hAnsiTheme="minorHAnsi" w:cstheme="minorHAnsi"/>
          <w:b/>
          <w:i/>
        </w:rPr>
        <w:t>Smart Sensor Suite</w:t>
      </w:r>
      <w:r w:rsidRPr="001C43D8">
        <w:rPr>
          <w:rFonts w:asciiTheme="minorHAnsi" w:hAnsiTheme="minorHAnsi" w:cstheme="minorHAnsi"/>
          <w:b/>
        </w:rPr>
        <w:t xml:space="preserve"> </w:t>
      </w:r>
      <w:r w:rsidRPr="001C43D8">
        <w:rPr>
          <w:rFonts w:asciiTheme="minorHAnsi" w:hAnsiTheme="minorHAnsi" w:cstheme="minorHAnsi"/>
        </w:rPr>
        <w:t xml:space="preserve">– In collaboration with EPRI, </w:t>
      </w:r>
      <w:r w:rsidR="00234F49">
        <w:rPr>
          <w:rFonts w:asciiTheme="minorHAnsi" w:hAnsiTheme="minorHAnsi" w:cstheme="minorHAnsi"/>
        </w:rPr>
        <w:t>SCS R&amp;D</w:t>
      </w:r>
      <w:r w:rsidRPr="001C43D8">
        <w:rPr>
          <w:rFonts w:asciiTheme="minorHAnsi" w:hAnsiTheme="minorHAnsi" w:cstheme="minorHAnsi"/>
        </w:rPr>
        <w:t xml:space="preserve"> is completing two major sensor installations that will advance visualization and increase the ability to perform condition-based maintenance (</w:t>
      </w:r>
      <w:r w:rsidR="00A33453">
        <w:rPr>
          <w:rFonts w:asciiTheme="minorHAnsi" w:hAnsiTheme="minorHAnsi" w:cstheme="minorHAnsi"/>
        </w:rPr>
        <w:t>“</w:t>
      </w:r>
      <w:r w:rsidRPr="001C43D8">
        <w:rPr>
          <w:rFonts w:asciiTheme="minorHAnsi" w:hAnsiTheme="minorHAnsi" w:cstheme="minorHAnsi"/>
        </w:rPr>
        <w:t>CBM</w:t>
      </w:r>
      <w:r w:rsidR="00A33453">
        <w:rPr>
          <w:rFonts w:asciiTheme="minorHAnsi" w:hAnsiTheme="minorHAnsi" w:cstheme="minorHAnsi"/>
        </w:rPr>
        <w:t>”</w:t>
      </w:r>
      <w:r w:rsidRPr="001C43D8">
        <w:rPr>
          <w:rFonts w:asciiTheme="minorHAnsi" w:hAnsiTheme="minorHAnsi" w:cstheme="minorHAnsi"/>
        </w:rPr>
        <w:t xml:space="preserve">) across the transmission system. </w:t>
      </w:r>
    </w:p>
    <w:p w14:paraId="79566C6B" w14:textId="77777777" w:rsidR="00B93847" w:rsidRPr="001C43D8" w:rsidRDefault="00B93847" w:rsidP="00DD00CB">
      <w:pPr>
        <w:pStyle w:val="NoSpacing"/>
        <w:numPr>
          <w:ilvl w:val="0"/>
          <w:numId w:val="31"/>
        </w:numPr>
      </w:pPr>
      <w:r w:rsidRPr="001C43D8">
        <w:t xml:space="preserve">Over 20 sensors were installed at the Magella Transmission Substation. The Magella host site will demonstrate opportunities to increase asset condition awareness on transmission assets, improve the ability to perform CBM, provide greater visualization for grid modernization efforts and reduce O&amp;M. </w:t>
      </w:r>
    </w:p>
    <w:p w14:paraId="038A2BD4" w14:textId="539DE5CA" w:rsidR="00B93847" w:rsidRPr="001C43D8" w:rsidRDefault="00B93847" w:rsidP="00DD00CB">
      <w:pPr>
        <w:pStyle w:val="NoSpacing"/>
        <w:numPr>
          <w:ilvl w:val="0"/>
          <w:numId w:val="31"/>
        </w:numPr>
        <w:rPr>
          <w:b/>
        </w:rPr>
      </w:pPr>
      <w:r w:rsidRPr="001C43D8">
        <w:t>Geomagnetically induced current (</w:t>
      </w:r>
      <w:r w:rsidR="00A33453">
        <w:t>“</w:t>
      </w:r>
      <w:r w:rsidRPr="001C43D8">
        <w:t>GIC</w:t>
      </w:r>
      <w:r w:rsidR="00A33453">
        <w:t>”</w:t>
      </w:r>
      <w:r w:rsidRPr="001C43D8">
        <w:t xml:space="preserve">) sensors were installed on a transformer at the Clay Transmission Substation. By understanding GIC impact on transformers, Southern Company can develop proper transmission planning models to predict impacts of geomagnetic disturbances </w:t>
      </w:r>
      <w:r w:rsidR="003D5FED">
        <w:t xml:space="preserve">(“GMD”) </w:t>
      </w:r>
      <w:r w:rsidRPr="001C43D8">
        <w:t>over the entire transmission system and comply with NERC regulations. The Clay sensor installation is part of a larger-scale project to gain an industry</w:t>
      </w:r>
      <w:r w:rsidR="003D5FED">
        <w:t>-</w:t>
      </w:r>
      <w:r w:rsidRPr="001C43D8">
        <w:t xml:space="preserve">wide understanding of GMD effects on the transmission system. </w:t>
      </w:r>
    </w:p>
    <w:p w14:paraId="66C0074E" w14:textId="225D5E6D" w:rsidR="00B93847" w:rsidRPr="001C43D8" w:rsidRDefault="00B93847" w:rsidP="00B93847">
      <w:pPr>
        <w:rPr>
          <w:rFonts w:asciiTheme="minorHAnsi" w:hAnsiTheme="minorHAnsi" w:cstheme="minorHAnsi"/>
          <w:b/>
        </w:rPr>
      </w:pPr>
      <w:r w:rsidRPr="001C43D8">
        <w:rPr>
          <w:rFonts w:asciiTheme="minorHAnsi" w:hAnsiTheme="minorHAnsi" w:cstheme="minorHAnsi"/>
          <w:b/>
          <w:i/>
        </w:rPr>
        <w:t xml:space="preserve">Digital Substation </w:t>
      </w:r>
      <w:r w:rsidRPr="001C43D8">
        <w:rPr>
          <w:rFonts w:asciiTheme="minorHAnsi" w:hAnsiTheme="minorHAnsi" w:cstheme="minorHAnsi"/>
        </w:rPr>
        <w:t xml:space="preserve">– This project uses fiber-optic communication with </w:t>
      </w:r>
      <w:r w:rsidR="00124BCB">
        <w:rPr>
          <w:rFonts w:asciiTheme="minorHAnsi" w:hAnsiTheme="minorHAnsi" w:cstheme="minorHAnsi"/>
        </w:rPr>
        <w:t>International Electrotechnical Commission (“</w:t>
      </w:r>
      <w:r w:rsidRPr="001C43D8">
        <w:rPr>
          <w:rFonts w:asciiTheme="minorHAnsi" w:hAnsiTheme="minorHAnsi" w:cstheme="minorHAnsi"/>
        </w:rPr>
        <w:t>IEC</w:t>
      </w:r>
      <w:r w:rsidR="00124BCB">
        <w:rPr>
          <w:rFonts w:asciiTheme="minorHAnsi" w:hAnsiTheme="minorHAnsi" w:cstheme="minorHAnsi"/>
        </w:rPr>
        <w:t>”)</w:t>
      </w:r>
      <w:r w:rsidRPr="001C43D8">
        <w:rPr>
          <w:rFonts w:asciiTheme="minorHAnsi" w:hAnsiTheme="minorHAnsi" w:cstheme="minorHAnsi"/>
        </w:rPr>
        <w:t xml:space="preserve"> 61850 protocol and/or Schweitzer time domain protocol throughout the substation.</w:t>
      </w:r>
      <w:r w:rsidRPr="001C43D8">
        <w:rPr>
          <w:rFonts w:asciiTheme="minorHAnsi" w:hAnsiTheme="minorHAnsi" w:cstheme="minorHAnsi"/>
          <w:b/>
        </w:rPr>
        <w:t xml:space="preserve"> </w:t>
      </w:r>
      <w:r w:rsidRPr="001C43D8">
        <w:rPr>
          <w:rFonts w:asciiTheme="minorHAnsi" w:hAnsiTheme="minorHAnsi" w:cstheme="minorHAnsi"/>
        </w:rPr>
        <w:t xml:space="preserve">The benefits include lower-cost </w:t>
      </w:r>
      <w:r w:rsidRPr="001C43D8">
        <w:rPr>
          <w:rFonts w:asciiTheme="minorHAnsi" w:eastAsia="Times New Roman" w:hAnsiTheme="minorHAnsi" w:cstheme="minorHAnsi"/>
        </w:rPr>
        <w:t>installation</w:t>
      </w:r>
      <w:r w:rsidRPr="001C43D8">
        <w:rPr>
          <w:rFonts w:asciiTheme="minorHAnsi" w:hAnsiTheme="minorHAnsi" w:cstheme="minorHAnsi"/>
        </w:rPr>
        <w:t xml:space="preserve"> and maintenance and increased ability for protection system automation.</w:t>
      </w:r>
    </w:p>
    <w:p w14:paraId="6FE52A61" w14:textId="2A127D59" w:rsidR="00B93847" w:rsidRPr="001C43D8" w:rsidRDefault="00B93847" w:rsidP="00B93847">
      <w:pPr>
        <w:rPr>
          <w:rFonts w:asciiTheme="minorHAnsi" w:hAnsiTheme="minorHAnsi" w:cstheme="minorHAnsi"/>
        </w:rPr>
      </w:pPr>
      <w:r w:rsidRPr="001C43D8">
        <w:rPr>
          <w:rFonts w:asciiTheme="minorHAnsi" w:hAnsiTheme="minorHAnsi" w:cstheme="minorHAnsi"/>
          <w:b/>
          <w:i/>
        </w:rPr>
        <w:t>Edge-of-Network Grid Optimization (</w:t>
      </w:r>
      <w:r w:rsidR="00A33453">
        <w:rPr>
          <w:rFonts w:asciiTheme="minorHAnsi" w:hAnsiTheme="minorHAnsi" w:cstheme="minorHAnsi"/>
          <w:b/>
          <w:i/>
        </w:rPr>
        <w:t>“</w:t>
      </w:r>
      <w:r w:rsidRPr="001C43D8">
        <w:rPr>
          <w:rFonts w:asciiTheme="minorHAnsi" w:hAnsiTheme="minorHAnsi" w:cstheme="minorHAnsi"/>
          <w:b/>
          <w:i/>
        </w:rPr>
        <w:t>ENGO</w:t>
      </w:r>
      <w:r w:rsidR="00A33453">
        <w:rPr>
          <w:rFonts w:asciiTheme="minorHAnsi" w:hAnsiTheme="minorHAnsi" w:cstheme="minorHAnsi"/>
          <w:b/>
          <w:i/>
        </w:rPr>
        <w:t>”</w:t>
      </w:r>
      <w:r w:rsidRPr="001C43D8">
        <w:rPr>
          <w:rFonts w:asciiTheme="minorHAnsi" w:hAnsiTheme="minorHAnsi" w:cstheme="minorHAnsi"/>
          <w:b/>
          <w:i/>
        </w:rPr>
        <w:t>)</w:t>
      </w:r>
      <w:r w:rsidRPr="001C43D8">
        <w:rPr>
          <w:rFonts w:asciiTheme="minorHAnsi" w:hAnsiTheme="minorHAnsi" w:cstheme="minorHAnsi"/>
        </w:rPr>
        <w:t xml:space="preserve"> – These pole-mounted distributed capacitance devices improve voltage control as more distributed energy resources come online</w:t>
      </w:r>
      <w:r w:rsidR="00E87D10">
        <w:rPr>
          <w:rFonts w:asciiTheme="minorHAnsi" w:hAnsiTheme="minorHAnsi" w:cstheme="minorHAnsi"/>
        </w:rPr>
        <w:t>,</w:t>
      </w:r>
      <w:r w:rsidRPr="001C43D8">
        <w:rPr>
          <w:rFonts w:asciiTheme="minorHAnsi" w:hAnsiTheme="minorHAnsi" w:cstheme="minorHAnsi"/>
        </w:rPr>
        <w:t xml:space="preserve"> allowing for the continued advancement toward automatic grid configurations. Field demonstrations of 700 </w:t>
      </w:r>
      <w:r w:rsidRPr="001C43D8">
        <w:rPr>
          <w:rFonts w:asciiTheme="minorHAnsi" w:eastAsia="Times New Roman" w:hAnsiTheme="minorHAnsi" w:cstheme="minorHAnsi"/>
        </w:rPr>
        <w:t>devices</w:t>
      </w:r>
      <w:r w:rsidRPr="001C43D8">
        <w:rPr>
          <w:rFonts w:asciiTheme="minorHAnsi" w:hAnsiTheme="minorHAnsi" w:cstheme="minorHAnsi"/>
        </w:rPr>
        <w:t xml:space="preserve"> are underway across </w:t>
      </w:r>
      <w:r w:rsidR="00E87D10">
        <w:rPr>
          <w:rFonts w:asciiTheme="minorHAnsi" w:hAnsiTheme="minorHAnsi" w:cstheme="minorHAnsi"/>
        </w:rPr>
        <w:t>the System</w:t>
      </w:r>
      <w:r w:rsidRPr="001C43D8">
        <w:rPr>
          <w:rFonts w:asciiTheme="minorHAnsi" w:hAnsiTheme="minorHAnsi" w:cstheme="minorHAnsi"/>
        </w:rPr>
        <w:t>.</w:t>
      </w:r>
    </w:p>
    <w:p w14:paraId="4597AC6C" w14:textId="11F62F6C" w:rsidR="00B93847" w:rsidRPr="001C43D8" w:rsidRDefault="00B93847" w:rsidP="00B93847">
      <w:pPr>
        <w:rPr>
          <w:rFonts w:asciiTheme="minorHAnsi" w:hAnsiTheme="minorHAnsi" w:cstheme="minorHAnsi"/>
          <w:b/>
        </w:rPr>
      </w:pPr>
      <w:r w:rsidRPr="001C43D8">
        <w:rPr>
          <w:rFonts w:asciiTheme="minorHAnsi" w:hAnsiTheme="minorHAnsi" w:cstheme="minorHAnsi"/>
          <w:b/>
          <w:i/>
        </w:rPr>
        <w:t>High-Temperature Conductor Connectors</w:t>
      </w:r>
      <w:r w:rsidRPr="001C43D8">
        <w:rPr>
          <w:rFonts w:asciiTheme="minorHAnsi" w:hAnsiTheme="minorHAnsi" w:cstheme="minorHAnsi"/>
          <w:b/>
        </w:rPr>
        <w:t xml:space="preserve"> </w:t>
      </w:r>
      <w:r w:rsidRPr="001C43D8">
        <w:rPr>
          <w:rFonts w:asciiTheme="minorHAnsi" w:hAnsiTheme="minorHAnsi" w:cstheme="minorHAnsi"/>
        </w:rPr>
        <w:t xml:space="preserve">– High-temperature, low-sag conductors are being used more commonly across Southern Company to increase capacity and improve performance of transmission lines. </w:t>
      </w:r>
      <w:r w:rsidR="00234F49">
        <w:rPr>
          <w:rFonts w:asciiTheme="minorHAnsi" w:hAnsiTheme="minorHAnsi" w:cstheme="minorHAnsi"/>
        </w:rPr>
        <w:t>SCS R&amp;D</w:t>
      </w:r>
      <w:r w:rsidRPr="001C43D8">
        <w:rPr>
          <w:rFonts w:asciiTheme="minorHAnsi" w:hAnsiTheme="minorHAnsi" w:cstheme="minorHAnsi"/>
        </w:rPr>
        <w:t xml:space="preserve"> work is addressing uncertainties about the impact of high temperatures on connected switches and other components. </w:t>
      </w:r>
    </w:p>
    <w:p w14:paraId="66BE7556" w14:textId="3002C645" w:rsidR="00B93847" w:rsidRPr="001C43D8" w:rsidRDefault="00B93847" w:rsidP="00B93847">
      <w:pPr>
        <w:rPr>
          <w:rFonts w:asciiTheme="minorHAnsi" w:hAnsiTheme="minorHAnsi" w:cstheme="minorHAnsi"/>
        </w:rPr>
      </w:pPr>
      <w:r w:rsidRPr="001C43D8">
        <w:rPr>
          <w:rFonts w:asciiTheme="minorHAnsi" w:hAnsiTheme="minorHAnsi" w:cstheme="minorHAnsi"/>
          <w:b/>
          <w:i/>
        </w:rPr>
        <w:t>Unmanned aerial systems (drones)</w:t>
      </w:r>
      <w:r w:rsidRPr="001C43D8">
        <w:rPr>
          <w:rFonts w:asciiTheme="minorHAnsi" w:hAnsiTheme="minorHAnsi" w:cstheme="minorHAnsi"/>
          <w:b/>
        </w:rPr>
        <w:t xml:space="preserve"> </w:t>
      </w:r>
      <w:r w:rsidR="005D5D11" w:rsidRPr="005D5D11">
        <w:rPr>
          <w:rFonts w:asciiTheme="minorHAnsi" w:hAnsiTheme="minorHAnsi" w:cstheme="minorHAnsi"/>
        </w:rPr>
        <w:t>–</w:t>
      </w:r>
      <w:r w:rsidR="005D5D11">
        <w:rPr>
          <w:rFonts w:asciiTheme="minorHAnsi" w:hAnsiTheme="minorHAnsi" w:cstheme="minorHAnsi"/>
          <w:b/>
        </w:rPr>
        <w:t xml:space="preserve"> </w:t>
      </w:r>
      <w:r w:rsidR="00234F49">
        <w:rPr>
          <w:rFonts w:asciiTheme="minorHAnsi" w:hAnsiTheme="minorHAnsi" w:cstheme="minorHAnsi"/>
        </w:rPr>
        <w:t>SCS R&amp;D</w:t>
      </w:r>
      <w:r w:rsidRPr="001C43D8">
        <w:rPr>
          <w:rFonts w:asciiTheme="minorHAnsi" w:hAnsiTheme="minorHAnsi" w:cstheme="minorHAnsi"/>
        </w:rPr>
        <w:t xml:space="preserve"> is working with EPRI to develop beyond-visual-line-of-sight capabilities and automation capabilities to perform fully automated, autonomous transmission infrastructure inspections. Artificial intelligence is also being incorporated to identify anomalies on the transmission system.</w:t>
      </w:r>
    </w:p>
    <w:p w14:paraId="33A856BC" w14:textId="2FF838E5" w:rsidR="00B93847" w:rsidRPr="001C43D8" w:rsidRDefault="00B93847" w:rsidP="00B93847">
      <w:pPr>
        <w:rPr>
          <w:rFonts w:asciiTheme="minorHAnsi" w:hAnsiTheme="minorHAnsi" w:cstheme="minorHAnsi"/>
          <w:b/>
        </w:rPr>
      </w:pPr>
      <w:bookmarkStart w:id="305" w:name="_Hlk535828844"/>
      <w:r w:rsidRPr="001C43D8">
        <w:rPr>
          <w:rFonts w:asciiTheme="minorHAnsi" w:hAnsiTheme="minorHAnsi" w:cstheme="minorHAnsi"/>
          <w:b/>
          <w:i/>
        </w:rPr>
        <w:t>DER Integration and Microgrids</w:t>
      </w:r>
      <w:r w:rsidRPr="001C43D8">
        <w:rPr>
          <w:rFonts w:asciiTheme="minorHAnsi" w:hAnsiTheme="minorHAnsi" w:cstheme="minorHAnsi"/>
          <w:b/>
        </w:rPr>
        <w:t xml:space="preserve"> </w:t>
      </w:r>
      <w:r w:rsidRPr="001C43D8">
        <w:rPr>
          <w:rFonts w:asciiTheme="minorHAnsi" w:hAnsiTheme="minorHAnsi" w:cstheme="minorHAnsi"/>
        </w:rPr>
        <w:t>– Multiple demonstrations and evaluations of microgrids, their controllers and distributed energy resources are underway. With these technologies, an overarching DERMS is being developed for control of these systems</w:t>
      </w:r>
      <w:r w:rsidR="007373ED">
        <w:rPr>
          <w:rFonts w:asciiTheme="minorHAnsi" w:hAnsiTheme="minorHAnsi" w:cstheme="minorHAnsi"/>
        </w:rPr>
        <w:t>.</w:t>
      </w:r>
    </w:p>
    <w:bookmarkEnd w:id="305"/>
    <w:p w14:paraId="5C1432C0" w14:textId="11F6279D" w:rsidR="00B93847" w:rsidRPr="001C43D8" w:rsidRDefault="00B93847" w:rsidP="00B93847">
      <w:pPr>
        <w:rPr>
          <w:rFonts w:asciiTheme="minorHAnsi" w:hAnsiTheme="minorHAnsi" w:cstheme="minorHAnsi"/>
        </w:rPr>
      </w:pPr>
      <w:r w:rsidRPr="001C43D8">
        <w:rPr>
          <w:rFonts w:asciiTheme="minorHAnsi" w:hAnsiTheme="minorHAnsi" w:cstheme="minorHAnsi"/>
          <w:b/>
          <w:i/>
        </w:rPr>
        <w:t>Grid Visualization and Analytics Center</w:t>
      </w:r>
      <w:r w:rsidRPr="001C43D8">
        <w:rPr>
          <w:rFonts w:asciiTheme="minorHAnsi" w:hAnsiTheme="minorHAnsi" w:cstheme="minorHAnsi"/>
        </w:rPr>
        <w:t xml:space="preserve"> – Completed in late 2018, this </w:t>
      </w:r>
      <w:r w:rsidR="00E87D10">
        <w:rPr>
          <w:rFonts w:asciiTheme="minorHAnsi" w:hAnsiTheme="minorHAnsi" w:cstheme="minorHAnsi"/>
        </w:rPr>
        <w:t>center</w:t>
      </w:r>
      <w:r w:rsidRPr="001C43D8">
        <w:rPr>
          <w:rFonts w:asciiTheme="minorHAnsi" w:hAnsiTheme="minorHAnsi" w:cstheme="minorHAnsi"/>
        </w:rPr>
        <w:t xml:space="preserve"> will improve both distribution and transmission operators' situational awareness. The intent is to provide analytics and visualization software vendors/developers' access to near-real-time grid data to test and harden their technologies.  </w:t>
      </w:r>
    </w:p>
    <w:p w14:paraId="0DEBE265" w14:textId="46A9E1C2" w:rsidR="00B93847" w:rsidRPr="001C43D8" w:rsidRDefault="00B93847" w:rsidP="00B93847">
      <w:pPr>
        <w:spacing w:after="0"/>
        <w:rPr>
          <w:rFonts w:asciiTheme="minorHAnsi" w:hAnsiTheme="minorHAnsi" w:cstheme="minorHAnsi"/>
        </w:rPr>
      </w:pPr>
      <w:r w:rsidRPr="001C43D8">
        <w:rPr>
          <w:rFonts w:asciiTheme="minorHAnsi" w:hAnsiTheme="minorHAnsi" w:cstheme="minorHAnsi"/>
          <w:b/>
          <w:i/>
        </w:rPr>
        <w:t>Synchrophasor Program and Tools</w:t>
      </w:r>
      <w:r w:rsidRPr="001C43D8">
        <w:rPr>
          <w:rFonts w:asciiTheme="minorHAnsi" w:hAnsiTheme="minorHAnsi" w:cstheme="minorHAnsi"/>
        </w:rPr>
        <w:t xml:space="preserve"> – Synchrophasors provide high-resolution, time-synchronized electrical measurements (with magnitude and phase angle) simultaneously from across the grid, providing optimization and problem prediction benefits. This project now has 65 devices dispersed across </w:t>
      </w:r>
      <w:r w:rsidR="00E87D10">
        <w:rPr>
          <w:rFonts w:asciiTheme="minorHAnsi" w:hAnsiTheme="minorHAnsi" w:cstheme="minorHAnsi"/>
        </w:rPr>
        <w:t>the System</w:t>
      </w:r>
      <w:r w:rsidRPr="001C43D8">
        <w:rPr>
          <w:rFonts w:asciiTheme="minorHAnsi" w:hAnsiTheme="minorHAnsi" w:cstheme="minorHAnsi"/>
        </w:rPr>
        <w:t>.</w:t>
      </w:r>
    </w:p>
    <w:p w14:paraId="2D58ECB9" w14:textId="77777777" w:rsidR="00B93847" w:rsidRPr="001C43D8" w:rsidRDefault="00B93847" w:rsidP="00B93847">
      <w:pPr>
        <w:spacing w:after="0"/>
        <w:rPr>
          <w:rFonts w:asciiTheme="minorHAnsi" w:hAnsiTheme="minorHAnsi" w:cstheme="minorHAnsi"/>
        </w:rPr>
      </w:pPr>
    </w:p>
    <w:p w14:paraId="477E393E" w14:textId="4D0293D2" w:rsidR="00B93847" w:rsidRPr="001C43D8" w:rsidRDefault="00B93847" w:rsidP="00B93847">
      <w:pPr>
        <w:rPr>
          <w:rFonts w:asciiTheme="minorHAnsi" w:hAnsiTheme="minorHAnsi" w:cstheme="minorHAnsi"/>
        </w:rPr>
      </w:pPr>
      <w:r w:rsidRPr="001C43D8">
        <w:rPr>
          <w:rFonts w:asciiTheme="minorHAnsi" w:hAnsiTheme="minorHAnsi" w:cstheme="minorHAnsi"/>
          <w:b/>
          <w:i/>
        </w:rPr>
        <w:t>Transformer of the Future</w:t>
      </w:r>
      <w:r w:rsidRPr="001C43D8">
        <w:rPr>
          <w:rFonts w:asciiTheme="minorHAnsi" w:hAnsiTheme="minorHAnsi" w:cstheme="minorHAnsi"/>
        </w:rPr>
        <w:t xml:space="preserve"> – This multiyear project focuses on </w:t>
      </w:r>
      <w:r w:rsidR="00940D53">
        <w:rPr>
          <w:rFonts w:asciiTheme="minorHAnsi" w:hAnsiTheme="minorHAnsi" w:cstheme="minorHAnsi"/>
        </w:rPr>
        <w:t>new</w:t>
      </w:r>
      <w:r w:rsidRPr="001C43D8">
        <w:rPr>
          <w:rFonts w:asciiTheme="minorHAnsi" w:hAnsiTheme="minorHAnsi" w:cstheme="minorHAnsi"/>
        </w:rPr>
        <w:t xml:space="preserve"> transformer technologies. Lab testing is being conducted on new chemical markers, online dissolved gas analysis and bushing monitor technologies.</w:t>
      </w:r>
    </w:p>
    <w:p w14:paraId="5066D6AA" w14:textId="1BE27C20" w:rsidR="00B93847" w:rsidRPr="001C43D8" w:rsidRDefault="00B93847" w:rsidP="00B93847">
      <w:pPr>
        <w:rPr>
          <w:rFonts w:asciiTheme="minorHAnsi" w:hAnsiTheme="minorHAnsi" w:cstheme="minorHAnsi"/>
        </w:rPr>
      </w:pPr>
      <w:r w:rsidRPr="001C43D8">
        <w:rPr>
          <w:rFonts w:asciiTheme="minorHAnsi" w:hAnsiTheme="minorHAnsi" w:cstheme="minorHAnsi"/>
          <w:b/>
          <w:i/>
        </w:rPr>
        <w:t>Transmission Monitoring, Diagnostics and Visualization</w:t>
      </w:r>
      <w:r w:rsidRPr="001C43D8">
        <w:rPr>
          <w:rFonts w:asciiTheme="minorHAnsi" w:hAnsiTheme="minorHAnsi" w:cstheme="minorHAnsi"/>
        </w:rPr>
        <w:t xml:space="preserve"> – A pilot demonstration of the Transmission Monitoring, Diagnostics</w:t>
      </w:r>
      <w:r w:rsidR="00365339">
        <w:rPr>
          <w:rFonts w:asciiTheme="minorHAnsi" w:hAnsiTheme="minorHAnsi" w:cstheme="minorHAnsi"/>
        </w:rPr>
        <w:t>,</w:t>
      </w:r>
      <w:r w:rsidRPr="001C43D8">
        <w:rPr>
          <w:rFonts w:asciiTheme="minorHAnsi" w:hAnsiTheme="minorHAnsi" w:cstheme="minorHAnsi"/>
        </w:rPr>
        <w:t xml:space="preserve"> and Visualization (</w:t>
      </w:r>
      <w:r w:rsidR="00A33453">
        <w:rPr>
          <w:rFonts w:asciiTheme="minorHAnsi" w:hAnsiTheme="minorHAnsi" w:cstheme="minorHAnsi"/>
        </w:rPr>
        <w:t>“</w:t>
      </w:r>
      <w:r w:rsidRPr="001C43D8">
        <w:rPr>
          <w:rFonts w:asciiTheme="minorHAnsi" w:hAnsiTheme="minorHAnsi" w:cstheme="minorHAnsi"/>
        </w:rPr>
        <w:t>TMDV</w:t>
      </w:r>
      <w:r w:rsidR="00A33453">
        <w:rPr>
          <w:rFonts w:asciiTheme="minorHAnsi" w:hAnsiTheme="minorHAnsi" w:cstheme="minorHAnsi"/>
        </w:rPr>
        <w:t>”</w:t>
      </w:r>
      <w:r w:rsidRPr="001C43D8">
        <w:rPr>
          <w:rFonts w:asciiTheme="minorHAnsi" w:hAnsiTheme="minorHAnsi" w:cstheme="minorHAnsi"/>
        </w:rPr>
        <w:t xml:space="preserve">) effort is complete. Significant progress was made in fault location, line switch operation verification and relay data extraction to facilitate analytics. Learnings from this multi-year project include: 1) a novel automated fault location method that takes humans out of the loop from event detection to the display of the fault in relation to transmission structures on a map. This will not only improve work efficiency but also facilitate faster customer restoration; 2) a line switch operation verification tool that has proved valuable beyond its original intent by alerting Operations personnel to other unrelated undiagnosed issues; 3) automated extraction of relay files to a database to permit data analytics including the calculation of cumulative arc energy and other metrics used for asset health assessment </w:t>
      </w:r>
    </w:p>
    <w:p w14:paraId="14461B1E" w14:textId="26370E0D" w:rsidR="00B93847" w:rsidRPr="001C43D8" w:rsidRDefault="00B93847" w:rsidP="00B93847">
      <w:pPr>
        <w:rPr>
          <w:rFonts w:asciiTheme="minorHAnsi" w:hAnsiTheme="minorHAnsi" w:cstheme="minorHAnsi"/>
          <w:lang w:val="en"/>
        </w:rPr>
      </w:pPr>
      <w:r w:rsidRPr="001C43D8">
        <w:rPr>
          <w:rFonts w:asciiTheme="minorHAnsi" w:hAnsiTheme="minorHAnsi" w:cstheme="minorHAnsi"/>
          <w:b/>
          <w:i/>
        </w:rPr>
        <w:t>Cyber-Physical Modeling and Simulation for Situational Awareness (</w:t>
      </w:r>
      <w:r w:rsidR="00A33453">
        <w:rPr>
          <w:rFonts w:asciiTheme="minorHAnsi" w:hAnsiTheme="minorHAnsi" w:cstheme="minorHAnsi"/>
          <w:b/>
          <w:i/>
        </w:rPr>
        <w:t>“</w:t>
      </w:r>
      <w:r w:rsidRPr="001C43D8">
        <w:rPr>
          <w:rFonts w:asciiTheme="minorHAnsi" w:hAnsiTheme="minorHAnsi" w:cstheme="minorHAnsi"/>
          <w:b/>
          <w:i/>
        </w:rPr>
        <w:t>CYMSA</w:t>
      </w:r>
      <w:r w:rsidR="00A33453">
        <w:rPr>
          <w:rFonts w:asciiTheme="minorHAnsi" w:hAnsiTheme="minorHAnsi" w:cstheme="minorHAnsi"/>
          <w:b/>
          <w:i/>
        </w:rPr>
        <w:t>”</w:t>
      </w:r>
      <w:r w:rsidRPr="001C43D8">
        <w:rPr>
          <w:rFonts w:asciiTheme="minorHAnsi" w:hAnsiTheme="minorHAnsi" w:cstheme="minorHAnsi"/>
          <w:b/>
          <w:i/>
        </w:rPr>
        <w:t>)</w:t>
      </w:r>
      <w:r w:rsidRPr="001C43D8">
        <w:rPr>
          <w:rFonts w:asciiTheme="minorHAnsi" w:hAnsiTheme="minorHAnsi" w:cstheme="minorHAnsi"/>
        </w:rPr>
        <w:t xml:space="preserve"> – In partnership with Georgia Tech and DOE, Southern Company is developing and demonstrating technology and/or techniques to detect and respond to adversarial cyber activity that could impact the grid. </w:t>
      </w:r>
    </w:p>
    <w:p w14:paraId="4EEBDB1E" w14:textId="170D80A5" w:rsidR="00B93847" w:rsidRPr="001C43D8" w:rsidRDefault="00B93847" w:rsidP="00B93847">
      <w:pPr>
        <w:pStyle w:val="Heading3"/>
        <w:rPr>
          <w:rFonts w:eastAsia="Times New Roman"/>
        </w:rPr>
      </w:pPr>
      <w:bookmarkStart w:id="306" w:name="_Toc441583001"/>
      <w:r w:rsidRPr="001C43D8">
        <w:rPr>
          <w:rFonts w:eastAsia="Times New Roman"/>
        </w:rPr>
        <w:t>Renewables, Storage, and Distributed Generation</w:t>
      </w:r>
      <w:bookmarkEnd w:id="306"/>
      <w:r w:rsidRPr="001C43D8">
        <w:rPr>
          <w:rFonts w:eastAsia="Times New Roman"/>
        </w:rPr>
        <w:t xml:space="preserve"> (</w:t>
      </w:r>
      <w:r w:rsidR="00A33453">
        <w:rPr>
          <w:rFonts w:eastAsia="Times New Roman"/>
        </w:rPr>
        <w:t>“</w:t>
      </w:r>
      <w:r w:rsidRPr="001C43D8">
        <w:rPr>
          <w:rFonts w:eastAsia="Times New Roman"/>
        </w:rPr>
        <w:t>RSDG</w:t>
      </w:r>
      <w:r w:rsidR="00A33453">
        <w:rPr>
          <w:rFonts w:eastAsia="Times New Roman"/>
        </w:rPr>
        <w:t>”</w:t>
      </w:r>
      <w:r w:rsidRPr="001C43D8">
        <w:rPr>
          <w:rFonts w:eastAsia="Times New Roman"/>
        </w:rPr>
        <w:t xml:space="preserve">) </w:t>
      </w:r>
    </w:p>
    <w:p w14:paraId="4941E557" w14:textId="5F4C3E2C"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rPr>
        <w:t>Southern Company’s RSDG R&amp;D represents a collaborative effort between the Generation and Retail Marketing business units to develop technologies associated with renewable resources (</w:t>
      </w:r>
      <w:r w:rsidR="004677D9">
        <w:rPr>
          <w:rFonts w:asciiTheme="minorHAnsi" w:eastAsia="Times New Roman" w:hAnsiTheme="minorHAnsi" w:cstheme="minorHAnsi"/>
        </w:rPr>
        <w:t xml:space="preserve">e.g., </w:t>
      </w:r>
      <w:r w:rsidRPr="001C43D8">
        <w:rPr>
          <w:rFonts w:asciiTheme="minorHAnsi" w:eastAsia="Times New Roman" w:hAnsiTheme="minorHAnsi" w:cstheme="minorHAnsi"/>
        </w:rPr>
        <w:t>wind, solar, biomass), energy storage and distributed generation. Objectives include providing technical, economic</w:t>
      </w:r>
      <w:r w:rsidR="001C2170">
        <w:rPr>
          <w:rFonts w:asciiTheme="minorHAnsi" w:eastAsia="Times New Roman" w:hAnsiTheme="minorHAnsi" w:cstheme="minorHAnsi"/>
        </w:rPr>
        <w:t>,</w:t>
      </w:r>
      <w:r w:rsidRPr="001C43D8">
        <w:rPr>
          <w:rFonts w:asciiTheme="minorHAnsi" w:eastAsia="Times New Roman" w:hAnsiTheme="minorHAnsi" w:cstheme="minorHAnsi"/>
        </w:rPr>
        <w:t xml:space="preserve"> and operational research to evaluate, develop and demonstrate future technology options for the company and its customers. Examples of RSDG efforts include:</w:t>
      </w:r>
    </w:p>
    <w:p w14:paraId="0008137A" w14:textId="74F89A7E"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Southeastern Solar Research Center (</w:t>
      </w:r>
      <w:r w:rsidR="00A33453">
        <w:rPr>
          <w:rFonts w:asciiTheme="minorHAnsi" w:eastAsia="Times New Roman" w:hAnsiTheme="minorHAnsi" w:cstheme="minorHAnsi"/>
          <w:b/>
          <w:i/>
        </w:rPr>
        <w:t>“</w:t>
      </w:r>
      <w:r w:rsidRPr="001C43D8">
        <w:rPr>
          <w:rFonts w:asciiTheme="minorHAnsi" w:eastAsia="Times New Roman" w:hAnsiTheme="minorHAnsi" w:cstheme="minorHAnsi"/>
          <w:b/>
          <w:i/>
        </w:rPr>
        <w:t>SSRC</w:t>
      </w:r>
      <w:r w:rsidR="00A33453">
        <w:rPr>
          <w:rFonts w:asciiTheme="minorHAnsi" w:eastAsia="Times New Roman" w:hAnsiTheme="minorHAnsi" w:cstheme="minorHAnsi"/>
          <w:b/>
          <w:i/>
        </w:rPr>
        <w:t>”</w:t>
      </w:r>
      <w:r w:rsidRPr="001C43D8">
        <w:rPr>
          <w:rFonts w:asciiTheme="minorHAnsi" w:eastAsia="Times New Roman" w:hAnsiTheme="minorHAnsi" w:cstheme="minorHAnsi"/>
          <w:b/>
          <w:i/>
        </w:rPr>
        <w:t xml:space="preserve">) </w:t>
      </w:r>
      <w:r w:rsidRPr="001C43D8">
        <w:rPr>
          <w:rFonts w:asciiTheme="minorHAnsi" w:eastAsia="Times New Roman" w:hAnsiTheme="minorHAnsi" w:cstheme="minorHAnsi"/>
        </w:rPr>
        <w:t xml:space="preserve">– The SSRC studies how the Southeastern </w:t>
      </w:r>
      <w:r w:rsidR="007136B4">
        <w:rPr>
          <w:rFonts w:asciiTheme="minorHAnsi" w:eastAsia="Times New Roman" w:hAnsiTheme="minorHAnsi" w:cstheme="minorHAnsi"/>
        </w:rPr>
        <w:t>US</w:t>
      </w:r>
      <w:r w:rsidRPr="001C43D8">
        <w:rPr>
          <w:rFonts w:asciiTheme="minorHAnsi" w:eastAsia="Times New Roman" w:hAnsiTheme="minorHAnsi" w:cstheme="minorHAnsi"/>
        </w:rPr>
        <w:t xml:space="preserve"> climate affects the performance of solar PV systems. Research is particularly focused on the development and application of accelerated aging methods, which will help predict PV panel performance and degradation over time and provide insight into optimal design of PV systems for electric utilities. Located in Birmingham, Alabama, the SSRC also serves as a host site for evaluating advanced inverter technologies. An advanced weather station complements research on short term solar forecasting and energy storage.  </w:t>
      </w:r>
    </w:p>
    <w:p w14:paraId="3893016E" w14:textId="29D4478E" w:rsidR="00940D53" w:rsidRPr="001C43D8" w:rsidRDefault="00940D53" w:rsidP="00940D53">
      <w:pPr>
        <w:rPr>
          <w:rFonts w:asciiTheme="minorHAnsi" w:eastAsia="Times New Roman" w:hAnsiTheme="minorHAnsi" w:cstheme="minorHAnsi"/>
        </w:rPr>
      </w:pPr>
      <w:r>
        <w:rPr>
          <w:rFonts w:asciiTheme="minorHAnsi" w:eastAsia="Times New Roman" w:hAnsiTheme="minorHAnsi" w:cstheme="minorHAnsi"/>
          <w:b/>
          <w:i/>
          <w:lang w:bidi="en-US"/>
        </w:rPr>
        <w:t xml:space="preserve">University of Georgia (“UGA”) </w:t>
      </w:r>
      <w:r w:rsidRPr="001C43D8">
        <w:rPr>
          <w:rFonts w:asciiTheme="minorHAnsi" w:eastAsia="Times New Roman" w:hAnsiTheme="minorHAnsi" w:cstheme="minorHAnsi"/>
          <w:b/>
          <w:i/>
          <w:lang w:bidi="en-US"/>
        </w:rPr>
        <w:t>1-MW Solar Demonstration</w:t>
      </w:r>
      <w:r>
        <w:rPr>
          <w:rFonts w:asciiTheme="minorHAnsi" w:eastAsia="Times New Roman" w:hAnsiTheme="minorHAnsi" w:cstheme="minorHAnsi"/>
          <w:b/>
          <w:i/>
          <w:lang w:bidi="en-US"/>
        </w:rPr>
        <w:t xml:space="preserve"> Project</w:t>
      </w:r>
      <w:r w:rsidRPr="001C43D8">
        <w:rPr>
          <w:rFonts w:asciiTheme="minorHAnsi" w:eastAsia="Times New Roman" w:hAnsiTheme="minorHAnsi" w:cstheme="minorHAnsi"/>
          <w:lang w:bidi="en-US"/>
        </w:rPr>
        <w:t xml:space="preserve"> – This 1-MW PV Georgia Power demonstration located at UGA monitors O&amp;M for various tracking systems to gain a better understanding of plant performance. The plant provides insight into performance at different solar orientations and advanced technologies to increase PV plant output.</w:t>
      </w:r>
      <w:r w:rsidRPr="001C43D8">
        <w:rPr>
          <w:rFonts w:asciiTheme="minorHAnsi" w:eastAsia="Times New Roman" w:hAnsiTheme="minorHAnsi" w:cstheme="minorHAnsi"/>
        </w:rPr>
        <w:t xml:space="preserve"> </w:t>
      </w:r>
      <w:r w:rsidRPr="00940D53">
        <w:rPr>
          <w:rFonts w:asciiTheme="minorHAnsi" w:eastAsia="Times New Roman" w:hAnsiTheme="minorHAnsi" w:cstheme="minorHAnsi"/>
        </w:rPr>
        <w:t>This demonstration project also supports research activities related to advanced solar plant design and smart inverter testing as described below:</w:t>
      </w:r>
    </w:p>
    <w:p w14:paraId="50DFCCC4" w14:textId="4B91372C" w:rsidR="00B93847" w:rsidRPr="001C43D8" w:rsidRDefault="00B93847" w:rsidP="00940D53">
      <w:pPr>
        <w:pStyle w:val="ListParagraph"/>
        <w:contextualSpacing w:val="0"/>
        <w:rPr>
          <w:lang w:bidi="en-US"/>
        </w:rPr>
      </w:pPr>
      <w:r w:rsidRPr="00940D53">
        <w:rPr>
          <w:i/>
        </w:rPr>
        <w:t>Advanced Solar Plant Design</w:t>
      </w:r>
      <w:r w:rsidRPr="001C43D8">
        <w:t xml:space="preserve"> – Projects are exploring new solar plant designs and configurations with a focus on cost reduction, increased energy output</w:t>
      </w:r>
      <w:r w:rsidR="00940D53">
        <w:t>,</w:t>
      </w:r>
      <w:r w:rsidRPr="001C43D8">
        <w:t xml:space="preserve"> and easier integration with storage and the grid.</w:t>
      </w:r>
    </w:p>
    <w:p w14:paraId="2D64ACD4" w14:textId="5A34682C" w:rsidR="00B93847" w:rsidRPr="001C43D8" w:rsidRDefault="00B93847" w:rsidP="00940D53">
      <w:pPr>
        <w:pStyle w:val="ListParagraph"/>
        <w:rPr>
          <w:lang w:bidi="en-US"/>
        </w:rPr>
      </w:pPr>
      <w:r w:rsidRPr="00940D53">
        <w:rPr>
          <w:i/>
        </w:rPr>
        <w:t>Smart Inverter Testing and Application</w:t>
      </w:r>
      <w:r w:rsidRPr="001C43D8">
        <w:t xml:space="preserve"> </w:t>
      </w:r>
      <w:r w:rsidRPr="001C43D8">
        <w:rPr>
          <w:lang w:bidi="en-US"/>
        </w:rPr>
        <w:t xml:space="preserve">– </w:t>
      </w:r>
      <w:r w:rsidRPr="001C43D8">
        <w:t xml:space="preserve">The demonstration site is also used to evaluate smart inverter capability. The project will test a variety of voltage </w:t>
      </w:r>
      <w:r w:rsidR="00940D53">
        <w:t xml:space="preserve">and power </w:t>
      </w:r>
      <w:r w:rsidRPr="001C43D8">
        <w:t xml:space="preserve">regulation modes to determine the effectiveness of smart inverters at managing </w:t>
      </w:r>
      <w:r w:rsidR="00940D53">
        <w:t xml:space="preserve">grid impacts of a </w:t>
      </w:r>
      <w:r w:rsidRPr="001C43D8">
        <w:t>solar resource.</w:t>
      </w:r>
    </w:p>
    <w:p w14:paraId="0A471670" w14:textId="6F546024" w:rsidR="00B93847" w:rsidRPr="001C43D8" w:rsidRDefault="00B93847" w:rsidP="00B93847">
      <w:pPr>
        <w:rPr>
          <w:rFonts w:asciiTheme="minorHAnsi" w:eastAsia="Times New Roman" w:hAnsiTheme="minorHAnsi" w:cstheme="minorHAnsi"/>
          <w:lang w:bidi="en-US"/>
        </w:rPr>
      </w:pPr>
      <w:r w:rsidRPr="001C43D8">
        <w:rPr>
          <w:rFonts w:asciiTheme="minorHAnsi" w:eastAsia="Times New Roman" w:hAnsiTheme="minorHAnsi" w:cstheme="minorHAnsi"/>
          <w:b/>
          <w:i/>
          <w:lang w:bidi="en-US"/>
        </w:rPr>
        <w:t>PV Inspections</w:t>
      </w:r>
      <w:r w:rsidRPr="001C43D8">
        <w:rPr>
          <w:rFonts w:asciiTheme="minorHAnsi" w:eastAsia="Times New Roman" w:hAnsiTheme="minorHAnsi" w:cstheme="minorHAnsi"/>
          <w:lang w:bidi="en-US"/>
        </w:rPr>
        <w:t xml:space="preserve"> – These projects include development and evaluation of innovative inspection techniques for solar facilities, including infrared (</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IR</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 electroluminescence (</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EL</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 ultraviolet (</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UV</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 and UV-Fluorescence (</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UV-F</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 xml:space="preserve">) imaging. These technologies can detect existing failures and potential failure points in solar panels and plants. Some techniques are being implemented with manned aircraft and drones. Work is also </w:t>
      </w:r>
      <w:r w:rsidR="00E87D10">
        <w:rPr>
          <w:rFonts w:asciiTheme="minorHAnsi" w:eastAsia="Times New Roman" w:hAnsiTheme="minorHAnsi" w:cstheme="minorHAnsi"/>
          <w:lang w:bidi="en-US"/>
        </w:rPr>
        <w:t>being done to evaluate the</w:t>
      </w:r>
      <w:r w:rsidRPr="001C43D8">
        <w:rPr>
          <w:rFonts w:asciiTheme="minorHAnsi" w:eastAsia="Times New Roman" w:hAnsiTheme="minorHAnsi" w:cstheme="minorHAnsi"/>
          <w:lang w:bidi="en-US"/>
        </w:rPr>
        <w:t xml:space="preserve"> effectiveness of algorithms for detecting failures and underperformance in solar plants.</w:t>
      </w:r>
    </w:p>
    <w:p w14:paraId="64347CDC" w14:textId="6064F0D1" w:rsidR="00B93847" w:rsidRPr="001C43D8" w:rsidRDefault="00B93847" w:rsidP="00B93847">
      <w:pPr>
        <w:rPr>
          <w:rFonts w:asciiTheme="minorHAnsi" w:eastAsia="Times New Roman" w:hAnsiTheme="minorHAnsi" w:cstheme="minorHAnsi"/>
          <w:lang w:bidi="en-US"/>
        </w:rPr>
      </w:pPr>
      <w:r w:rsidRPr="001C43D8">
        <w:rPr>
          <w:rFonts w:asciiTheme="minorHAnsi" w:eastAsia="Times New Roman" w:hAnsiTheme="minorHAnsi" w:cstheme="minorHAnsi"/>
          <w:b/>
          <w:i/>
          <w:lang w:bidi="en-US"/>
        </w:rPr>
        <w:t>Solar Forecasting</w:t>
      </w:r>
      <w:r w:rsidRPr="001C43D8">
        <w:rPr>
          <w:rFonts w:asciiTheme="minorHAnsi" w:eastAsia="Times New Roman" w:hAnsiTheme="minorHAnsi" w:cstheme="minorHAnsi"/>
          <w:lang w:bidi="en-US"/>
        </w:rPr>
        <w:t xml:space="preserve"> – Southern Company, along with several utilities and vendors, is part of a team lead by EPRI that was awarded DOE funding for a solar forecasting project: Operational Probabilistic Tools for Solar Uncertainty (</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OPTSUN</w:t>
      </w:r>
      <w:r w:rsidR="00A33453">
        <w:rPr>
          <w:rFonts w:asciiTheme="minorHAnsi" w:eastAsia="Times New Roman" w:hAnsiTheme="minorHAnsi" w:cstheme="minorHAnsi"/>
          <w:lang w:bidi="en-US"/>
        </w:rPr>
        <w:t>”</w:t>
      </w:r>
      <w:r w:rsidRPr="001C43D8">
        <w:rPr>
          <w:rFonts w:asciiTheme="minorHAnsi" w:eastAsia="Times New Roman" w:hAnsiTheme="minorHAnsi" w:cstheme="minorHAnsi"/>
          <w:lang w:bidi="en-US"/>
        </w:rPr>
        <w:t>). OPTSUN seeks to integrate improved probabilistic solar forecasts into tools used in fleet operations. This builds upon previous work with EPRI to evaluate the accuracy of solar forecasting vendors.</w:t>
      </w:r>
    </w:p>
    <w:p w14:paraId="4CA6EA46" w14:textId="2B77CA0C" w:rsidR="00B93847" w:rsidRPr="001C43D8" w:rsidRDefault="00B93847" w:rsidP="00B93847">
      <w:pPr>
        <w:rPr>
          <w:rFonts w:asciiTheme="minorHAnsi" w:eastAsia="Times New Roman" w:hAnsiTheme="minorHAnsi" w:cstheme="minorHAnsi"/>
          <w:lang w:bidi="en-US"/>
        </w:rPr>
      </w:pPr>
      <w:r w:rsidRPr="001C43D8">
        <w:rPr>
          <w:rFonts w:asciiTheme="minorHAnsi" w:eastAsia="Times New Roman" w:hAnsiTheme="minorHAnsi" w:cstheme="minorHAnsi"/>
          <w:b/>
          <w:i/>
          <w:lang w:bidi="en-US"/>
        </w:rPr>
        <w:t xml:space="preserve">Rooftop Solar Adoption Forecasting </w:t>
      </w:r>
      <w:r w:rsidRPr="001C43D8">
        <w:rPr>
          <w:rFonts w:asciiTheme="minorHAnsi" w:eastAsia="Times New Roman" w:hAnsiTheme="minorHAnsi" w:cstheme="minorHAnsi"/>
          <w:lang w:bidi="en-US"/>
        </w:rPr>
        <w:t xml:space="preserve">– </w:t>
      </w:r>
      <w:r w:rsidR="00234F49">
        <w:rPr>
          <w:rFonts w:asciiTheme="minorHAnsi" w:eastAsia="Times New Roman" w:hAnsiTheme="minorHAnsi" w:cstheme="minorHAnsi"/>
          <w:lang w:bidi="en-US"/>
        </w:rPr>
        <w:t>SCS R&amp;D</w:t>
      </w:r>
      <w:r w:rsidRPr="001C43D8">
        <w:rPr>
          <w:rFonts w:asciiTheme="minorHAnsi" w:eastAsia="Times New Roman" w:hAnsiTheme="minorHAnsi" w:cstheme="minorHAnsi"/>
          <w:lang w:bidi="en-US"/>
        </w:rPr>
        <w:t xml:space="preserve"> is participating in a multi-utility EPRI project that is building survey-based models to forecast residential rooftop solar adoption and better understand customer preferences related to solar. Forecasts are built around census data to provide zip code-level estimates, and can be filtered based on customer-owned, leased and community solar models. </w:t>
      </w:r>
    </w:p>
    <w:p w14:paraId="69FDB5B8" w14:textId="12F94954"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 xml:space="preserve">Wind Evaluations </w:t>
      </w:r>
      <w:r w:rsidRPr="005D5D11">
        <w:rPr>
          <w:rFonts w:asciiTheme="minorHAnsi" w:eastAsia="Times New Roman" w:hAnsiTheme="minorHAnsi" w:cstheme="minorHAnsi"/>
          <w:i/>
        </w:rPr>
        <w:t>–</w:t>
      </w:r>
      <w:r w:rsidRPr="001C43D8">
        <w:rPr>
          <w:rFonts w:asciiTheme="minorHAnsi" w:eastAsia="Times New Roman" w:hAnsiTheme="minorHAnsi" w:cstheme="minorHAnsi"/>
          <w:b/>
          <w:i/>
        </w:rPr>
        <w:t xml:space="preserve"> </w:t>
      </w:r>
      <w:r w:rsidRPr="001C43D8">
        <w:rPr>
          <w:rFonts w:asciiTheme="minorHAnsi" w:eastAsia="Times New Roman" w:hAnsiTheme="minorHAnsi" w:cstheme="minorHAnsi"/>
        </w:rPr>
        <w:t xml:space="preserve">Projects are underway to assess wind resources within the Southeast. </w:t>
      </w:r>
      <w:r w:rsidR="00234F49">
        <w:rPr>
          <w:rFonts w:asciiTheme="minorHAnsi" w:eastAsia="Times New Roman" w:hAnsiTheme="minorHAnsi" w:cstheme="minorHAnsi"/>
        </w:rPr>
        <w:t>SCS R&amp;D</w:t>
      </w:r>
      <w:r w:rsidRPr="001C43D8">
        <w:rPr>
          <w:rFonts w:asciiTheme="minorHAnsi" w:eastAsia="Times New Roman" w:hAnsiTheme="minorHAnsi" w:cstheme="minorHAnsi"/>
        </w:rPr>
        <w:t xml:space="preserve"> is partnering with Georgia Power to complete a wind feasibility study to better assess wind resources in the state of Georgia. This project involves the installation of four LiDAR units and one sonic detection and ranging</w:t>
      </w:r>
      <w:r w:rsidR="00E54082">
        <w:rPr>
          <w:rFonts w:asciiTheme="minorHAnsi" w:eastAsia="Times New Roman" w:hAnsiTheme="minorHAnsi" w:cstheme="minorHAnsi"/>
        </w:rPr>
        <w:t xml:space="preserve"> (“SODAR”)</w:t>
      </w:r>
      <w:r w:rsidRPr="001C43D8">
        <w:rPr>
          <w:rFonts w:asciiTheme="minorHAnsi" w:eastAsia="Times New Roman" w:hAnsiTheme="minorHAnsi" w:cstheme="minorHAnsi"/>
        </w:rPr>
        <w:t xml:space="preserve"> </w:t>
      </w:r>
      <w:r w:rsidR="00E54082">
        <w:rPr>
          <w:rFonts w:asciiTheme="minorHAnsi" w:eastAsia="Times New Roman" w:hAnsiTheme="minorHAnsi" w:cstheme="minorHAnsi"/>
        </w:rPr>
        <w:t>unit</w:t>
      </w:r>
      <w:r w:rsidRPr="001C43D8">
        <w:rPr>
          <w:rFonts w:asciiTheme="minorHAnsi" w:eastAsia="Times New Roman" w:hAnsiTheme="minorHAnsi" w:cstheme="minorHAnsi"/>
        </w:rPr>
        <w:t>. The project will provide actual measured wind resource data up to 200 meters above the ground. SODAR wind resource data has also been collected at Chandler Mountain, Alabama, for a pre-feasibility wind development assessment. This work will provide estimated potential annual energy production and high-level costs for wind facility based on these sites.</w:t>
      </w:r>
    </w:p>
    <w:p w14:paraId="45313A45" w14:textId="61BEEF45"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Residential Battery Test Stand</w:t>
      </w:r>
      <w:r w:rsidRPr="001C43D8">
        <w:rPr>
          <w:rFonts w:asciiTheme="minorHAnsi" w:eastAsia="Times New Roman" w:hAnsiTheme="minorHAnsi" w:cstheme="minorHAnsi"/>
        </w:rPr>
        <w:t xml:space="preserve"> – </w:t>
      </w:r>
      <w:r w:rsidR="00234F49">
        <w:rPr>
          <w:rFonts w:asciiTheme="minorHAnsi" w:eastAsia="Times New Roman" w:hAnsiTheme="minorHAnsi" w:cstheme="minorHAnsi"/>
        </w:rPr>
        <w:t>SCS</w:t>
      </w:r>
      <w:r w:rsidRPr="001C43D8">
        <w:rPr>
          <w:rFonts w:asciiTheme="minorHAnsi" w:eastAsia="Times New Roman" w:hAnsiTheme="minorHAnsi" w:cstheme="minorHAnsi"/>
        </w:rPr>
        <w:t xml:space="preserve"> R&amp;D is also evaluating behind-the-meter residential storage systems that can provide renewable integration, demand management and back-up power. Located at Southern Company’s R&amp;D Laboratory in Irondale, Alabama, the residential battery test stand enables researchers to “plug and play” residential energy storage systems, run simulations for various use cases and perform side-by-side evaluation of technologies. The project includes the ability to simulate a residential home containing solar PV and energy storage systems with typical home appliances. Multiple residential battery systems are being tested in support of the Georgia Power Smart Neighborhood project. </w:t>
      </w:r>
    </w:p>
    <w:p w14:paraId="0C954E86" w14:textId="7777777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Energy Storage Performance and Reliability Data Analysis</w:t>
      </w:r>
      <w:r w:rsidRPr="001C43D8">
        <w:rPr>
          <w:rFonts w:asciiTheme="minorHAnsi" w:eastAsia="Times New Roman" w:hAnsiTheme="minorHAnsi" w:cstheme="minorHAnsi"/>
        </w:rPr>
        <w:t xml:space="preserve"> – This project will develop a data repository and analysis platform to collect and analyze data from energy storage systems and answer key questions about performance, reliability and degradation over time. This effort will leverage infrastructure and lessons learned from EPRI’s ongoing work establishing databases for understanding component reliability and failure modes of utility assets such as transformers and PV systems.</w:t>
      </w:r>
    </w:p>
    <w:p w14:paraId="56F21BE8" w14:textId="4ADC95C7"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Small-Scale Battery Storage Demonstration with Solar PV</w:t>
      </w:r>
      <w:r w:rsidRPr="001C43D8">
        <w:rPr>
          <w:rFonts w:asciiTheme="minorHAnsi" w:eastAsia="Times New Roman" w:hAnsiTheme="minorHAnsi" w:cstheme="minorHAnsi"/>
        </w:rPr>
        <w:t xml:space="preserve"> – Two 5 kW/20 kWh energy storage systems have been installed to demonstrate solar PV integration. </w:t>
      </w:r>
      <w:r w:rsidR="00E87D10">
        <w:rPr>
          <w:rFonts w:asciiTheme="minorHAnsi" w:eastAsia="Times New Roman" w:hAnsiTheme="minorHAnsi" w:cstheme="minorHAnsi"/>
        </w:rPr>
        <w:t>The s</w:t>
      </w:r>
      <w:r w:rsidRPr="001C43D8">
        <w:rPr>
          <w:rFonts w:asciiTheme="minorHAnsi" w:eastAsia="Times New Roman" w:hAnsiTheme="minorHAnsi" w:cstheme="minorHAnsi"/>
        </w:rPr>
        <w:t xml:space="preserve">ystems are located in Gulfport, Mississippi, and Mobile, Alabama. These projects will provide experience using small-scale battery storage for PV smoothing and shifting on small scale systems. </w:t>
      </w:r>
    </w:p>
    <w:p w14:paraId="21257A16" w14:textId="143E82AC" w:rsidR="00B93847"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Commercial-Scale Battery Storage Demonstrations</w:t>
      </w:r>
      <w:r w:rsidRPr="001C43D8">
        <w:rPr>
          <w:rFonts w:asciiTheme="minorHAnsi" w:eastAsia="Times New Roman" w:hAnsiTheme="minorHAnsi" w:cstheme="minorHAnsi"/>
        </w:rPr>
        <w:t xml:space="preserve"> – Two 40kW/50kWh energy storage systems have been installed in Gulfport, Mississippi, and Alpharetta, Georgia, to further understand operational challenges, integration and the value of storage. The systems are connected at the edge of the grid, between the secondary of the transformer and the customer.</w:t>
      </w:r>
    </w:p>
    <w:p w14:paraId="36CC8FB9" w14:textId="296B000C" w:rsidR="0056395F" w:rsidRPr="001C43D8" w:rsidRDefault="00E87D10" w:rsidP="0056395F">
      <w:r>
        <w:t>A</w:t>
      </w:r>
      <w:r w:rsidR="0056395F" w:rsidRPr="0009798C">
        <w:t>nother commercial-scale project, a 250-kW/1 MWh Tesla Powerpack lithium-ion system, previously interconnected at a Gulf Power facility in Pensacola, Florida, will be installed at a location in Alabama. The project will enable a better understanding of the siting, installation and operational requirements of commercial- and industrial-scale energy storage systems, as well as the value storage applications can offer customers and the energy provider through peak shaving, demand management, ancillary services, energy arbitrage and backup power. This project is also providing information for the EPRI energy storage performance and reliability data analysis effort.</w:t>
      </w:r>
    </w:p>
    <w:p w14:paraId="35C95990" w14:textId="74EE0A59"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 xml:space="preserve">Cedartown Utility-Scale Battery Storage with Solar PV </w:t>
      </w:r>
      <w:r w:rsidRPr="005D5D11">
        <w:rPr>
          <w:rFonts w:asciiTheme="minorHAnsi" w:eastAsia="Times New Roman" w:hAnsiTheme="minorHAnsi" w:cstheme="minorHAnsi"/>
          <w:i/>
        </w:rPr>
        <w:t>–</w:t>
      </w:r>
      <w:r w:rsidRPr="001C43D8">
        <w:rPr>
          <w:rFonts w:asciiTheme="minorHAnsi" w:eastAsia="Times New Roman" w:hAnsiTheme="minorHAnsi" w:cstheme="minorHAnsi"/>
        </w:rPr>
        <w:t xml:space="preserve"> This lithium-ion energy storage project is evaluating the operation and benefits of a 1-MW/2-MWh system integrated with a 2-MW solar facility in Cedartown, Georgia. </w:t>
      </w:r>
      <w:r w:rsidR="00234F49">
        <w:rPr>
          <w:rFonts w:asciiTheme="minorHAnsi" w:eastAsia="Times New Roman" w:hAnsiTheme="minorHAnsi" w:cstheme="minorHAnsi"/>
        </w:rPr>
        <w:t>SCS R&amp;D</w:t>
      </w:r>
      <w:r w:rsidRPr="001C43D8">
        <w:rPr>
          <w:rFonts w:asciiTheme="minorHAnsi" w:eastAsia="Times New Roman" w:hAnsiTheme="minorHAnsi" w:cstheme="minorHAnsi"/>
        </w:rPr>
        <w:t xml:space="preserve"> is demonstrating renewable integration, peak shaving and voltage support to help establish a technical and economic foundation for future grid deployments.  </w:t>
      </w:r>
      <w:bookmarkStart w:id="307" w:name="_Hlk531935634"/>
      <w:r w:rsidRPr="001C43D8">
        <w:rPr>
          <w:rFonts w:asciiTheme="minorHAnsi" w:eastAsia="Times New Roman" w:hAnsiTheme="minorHAnsi" w:cstheme="minorHAnsi"/>
        </w:rPr>
        <w:t>This project is also providing information for the EPRI energy storage performance and reliability data analysis effort.</w:t>
      </w:r>
      <w:bookmarkEnd w:id="307"/>
    </w:p>
    <w:p w14:paraId="5847C848" w14:textId="74689BA4"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Energy Storage Research Center (</w:t>
      </w:r>
      <w:r w:rsidR="00A33453">
        <w:rPr>
          <w:rFonts w:asciiTheme="minorHAnsi" w:eastAsia="Times New Roman" w:hAnsiTheme="minorHAnsi" w:cstheme="minorHAnsi"/>
          <w:b/>
          <w:i/>
        </w:rPr>
        <w:t>“</w:t>
      </w:r>
      <w:r w:rsidRPr="001C43D8">
        <w:rPr>
          <w:rFonts w:asciiTheme="minorHAnsi" w:eastAsia="Times New Roman" w:hAnsiTheme="minorHAnsi" w:cstheme="minorHAnsi"/>
          <w:b/>
          <w:i/>
        </w:rPr>
        <w:t>ESRC</w:t>
      </w:r>
      <w:r w:rsidR="00A33453">
        <w:rPr>
          <w:rFonts w:asciiTheme="minorHAnsi" w:eastAsia="Times New Roman" w:hAnsiTheme="minorHAnsi" w:cstheme="minorHAnsi"/>
          <w:b/>
          <w:i/>
        </w:rPr>
        <w:t>”</w:t>
      </w:r>
      <w:r w:rsidRPr="001C43D8">
        <w:rPr>
          <w:rFonts w:asciiTheme="minorHAnsi" w:eastAsia="Times New Roman" w:hAnsiTheme="minorHAnsi" w:cstheme="minorHAnsi"/>
          <w:b/>
          <w:i/>
        </w:rPr>
        <w:t xml:space="preserve">) </w:t>
      </w:r>
      <w:r w:rsidR="005D5D11">
        <w:rPr>
          <w:rFonts w:asciiTheme="minorHAnsi" w:eastAsia="Times New Roman" w:hAnsiTheme="minorHAnsi" w:cstheme="minorHAnsi"/>
        </w:rPr>
        <w:t>–</w:t>
      </w:r>
      <w:r w:rsidRPr="001C43D8">
        <w:rPr>
          <w:rFonts w:asciiTheme="minorHAnsi" w:eastAsia="Times New Roman" w:hAnsiTheme="minorHAnsi" w:cstheme="minorHAnsi"/>
        </w:rPr>
        <w:t xml:space="preserve"> This collaborative effort between Southern Company, Southern Research Institute, EPRI, DOE’s Office of Electricity and Oak Ridge National Laboratory serves as an industry-wide resource for testing multiple energy storage technologies under actual grid conditions. Located in Birmingham, Alabama, the center will help facilitate the advancement of hardware and software components of energy storage systems and help develop and validate standards for the integration and operation of storage technologies. Ultimately the ESRC will be part of a decentralized energy storage collaboration network comprised of EPRI, utilities and DOE to inform the safe and effective deployment of advanced energy storage technology.  </w:t>
      </w:r>
    </w:p>
    <w:p w14:paraId="54DB68D7" w14:textId="08ED9532"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 xml:space="preserve">Comparison and Optimization of Design Options for Compressed Air Energy Storage (CAES) </w:t>
      </w:r>
      <w:r w:rsidRPr="005D5D11">
        <w:rPr>
          <w:rFonts w:asciiTheme="minorHAnsi" w:eastAsia="Times New Roman" w:hAnsiTheme="minorHAnsi" w:cstheme="minorHAnsi"/>
          <w:i/>
        </w:rPr>
        <w:t>–</w:t>
      </w:r>
      <w:r w:rsidRPr="005D5D11">
        <w:rPr>
          <w:rFonts w:asciiTheme="minorHAnsi" w:eastAsia="Times New Roman" w:hAnsiTheme="minorHAnsi" w:cstheme="minorHAnsi"/>
        </w:rPr>
        <w:t xml:space="preserve"> </w:t>
      </w:r>
      <w:r w:rsidRPr="001C43D8">
        <w:rPr>
          <w:rFonts w:asciiTheme="minorHAnsi" w:eastAsia="Times New Roman" w:hAnsiTheme="minorHAnsi" w:cstheme="minorHAnsi"/>
        </w:rPr>
        <w:t xml:space="preserve">The purpose of this project is to evaluate different CAES design. CAES is one of the lowest-cost and most mature technologies for energy storage and is one of few technologies that can provide bulk energy storage for long durations.  </w:t>
      </w:r>
    </w:p>
    <w:p w14:paraId="0051F586" w14:textId="5E9ABCA4" w:rsidR="00B93847" w:rsidRPr="001C43D8" w:rsidRDefault="00B93847" w:rsidP="00B93847">
      <w:pPr>
        <w:rPr>
          <w:rFonts w:asciiTheme="minorHAnsi" w:eastAsia="Times New Roman" w:hAnsiTheme="minorHAnsi" w:cstheme="minorHAnsi"/>
        </w:rPr>
      </w:pPr>
      <w:r w:rsidRPr="001C43D8">
        <w:rPr>
          <w:rFonts w:asciiTheme="minorHAnsi" w:hAnsiTheme="minorHAnsi" w:cstheme="minorHAnsi"/>
          <w:b/>
          <w:i/>
        </w:rPr>
        <w:t>Landfill Gas Demonstration of Bloom Energy Fuel Cell Technology</w:t>
      </w:r>
      <w:r w:rsidR="00E87D10">
        <w:rPr>
          <w:rFonts w:asciiTheme="minorHAnsi" w:hAnsiTheme="minorHAnsi" w:cstheme="minorHAnsi"/>
          <w:b/>
          <w:i/>
        </w:rPr>
        <w:t xml:space="preserve"> Pilot</w:t>
      </w:r>
      <w:r w:rsidRPr="001C43D8">
        <w:rPr>
          <w:rFonts w:asciiTheme="minorHAnsi" w:hAnsiTheme="minorHAnsi" w:cstheme="minorHAnsi"/>
          <w:b/>
          <w:i/>
        </w:rPr>
        <w:t xml:space="preserve"> </w:t>
      </w:r>
      <w:r w:rsidRPr="001C43D8">
        <w:rPr>
          <w:rFonts w:asciiTheme="minorHAnsi" w:eastAsia="Times New Roman" w:hAnsiTheme="minorHAnsi" w:cstheme="minorHAnsi"/>
        </w:rPr>
        <w:t xml:space="preserve">– Southern Company and Bloom Energy are partnering to demonstrate </w:t>
      </w:r>
      <w:r w:rsidR="00E87D10">
        <w:rPr>
          <w:rFonts w:asciiTheme="minorHAnsi" w:eastAsia="Times New Roman" w:hAnsiTheme="minorHAnsi" w:cstheme="minorHAnsi"/>
        </w:rPr>
        <w:t xml:space="preserve">a </w:t>
      </w:r>
      <w:r w:rsidRPr="001C43D8">
        <w:rPr>
          <w:rFonts w:asciiTheme="minorHAnsi" w:eastAsia="Times New Roman" w:hAnsiTheme="minorHAnsi" w:cstheme="minorHAnsi"/>
        </w:rPr>
        <w:t>solid-oxide fuel cell operation on landfill gas. The pilot will allow Bloom Energy and Southern Company to understand the feasibility of solid-oxide fuel cells as a new, clean solution for utilizing landfill gas. The project is expected to pave the way for commercial deployment of large-scale landfill gas-based fuel cell systems.</w:t>
      </w:r>
    </w:p>
    <w:p w14:paraId="6344BAFE" w14:textId="250B559D" w:rsidR="00B93847" w:rsidRPr="001C43D8" w:rsidRDefault="00B93847" w:rsidP="00B93847">
      <w:pPr>
        <w:rPr>
          <w:rFonts w:asciiTheme="minorHAnsi" w:eastAsia="Times New Roman" w:hAnsiTheme="minorHAnsi" w:cstheme="minorHAnsi"/>
        </w:rPr>
      </w:pPr>
      <w:r w:rsidRPr="001C43D8">
        <w:rPr>
          <w:rFonts w:asciiTheme="minorHAnsi" w:eastAsia="Times New Roman" w:hAnsiTheme="minorHAnsi" w:cstheme="minorHAnsi"/>
          <w:b/>
          <w:i/>
        </w:rPr>
        <w:t>Gencell Alkaline 5-kW Fuel Cell Demonstration</w:t>
      </w:r>
      <w:r w:rsidRPr="001C43D8">
        <w:rPr>
          <w:rFonts w:asciiTheme="minorHAnsi" w:eastAsia="Times New Roman" w:hAnsiTheme="minorHAnsi" w:cstheme="minorHAnsi"/>
        </w:rPr>
        <w:t xml:space="preserve"> – </w:t>
      </w:r>
      <w:r w:rsidR="00234F49">
        <w:rPr>
          <w:rFonts w:asciiTheme="minorHAnsi" w:eastAsia="Times New Roman" w:hAnsiTheme="minorHAnsi" w:cstheme="minorHAnsi"/>
        </w:rPr>
        <w:t>SCS R&amp;D</w:t>
      </w:r>
      <w:r w:rsidRPr="001C43D8">
        <w:rPr>
          <w:rFonts w:asciiTheme="minorHAnsi" w:eastAsia="Times New Roman" w:hAnsiTheme="minorHAnsi" w:cstheme="minorHAnsi"/>
        </w:rPr>
        <w:t xml:space="preserve"> is expanding its evaluation of fuel cell technologies with a demonstration of the Gencell alkaline fuel cell at the Irondale R&amp;D Laboratory. The project will evaluate the performance, O&amp;M needs and costs for deploying </w:t>
      </w:r>
      <w:r w:rsidR="00A33453">
        <w:rPr>
          <w:rFonts w:asciiTheme="minorHAnsi" w:eastAsia="Times New Roman" w:hAnsiTheme="minorHAnsi" w:cstheme="minorHAnsi"/>
        </w:rPr>
        <w:t xml:space="preserve">this type of technology in </w:t>
      </w:r>
      <w:r w:rsidR="00E87D10">
        <w:rPr>
          <w:rFonts w:asciiTheme="minorHAnsi" w:eastAsia="Times New Roman" w:hAnsiTheme="minorHAnsi" w:cstheme="minorHAnsi"/>
        </w:rPr>
        <w:t>U</w:t>
      </w:r>
      <w:r w:rsidRPr="001C43D8">
        <w:rPr>
          <w:rFonts w:asciiTheme="minorHAnsi" w:eastAsia="Times New Roman" w:hAnsiTheme="minorHAnsi" w:cstheme="minorHAnsi"/>
        </w:rPr>
        <w:t xml:space="preserve">ninterruptible </w:t>
      </w:r>
      <w:r w:rsidR="00E87D10">
        <w:rPr>
          <w:rFonts w:asciiTheme="minorHAnsi" w:eastAsia="Times New Roman" w:hAnsiTheme="minorHAnsi" w:cstheme="minorHAnsi"/>
        </w:rPr>
        <w:t>P</w:t>
      </w:r>
      <w:r w:rsidRPr="001C43D8">
        <w:rPr>
          <w:rFonts w:asciiTheme="minorHAnsi" w:eastAsia="Times New Roman" w:hAnsiTheme="minorHAnsi" w:cstheme="minorHAnsi"/>
        </w:rPr>
        <w:t xml:space="preserve">ower </w:t>
      </w:r>
      <w:r w:rsidR="00E87D10">
        <w:rPr>
          <w:rFonts w:asciiTheme="minorHAnsi" w:eastAsia="Times New Roman" w:hAnsiTheme="minorHAnsi" w:cstheme="minorHAnsi"/>
        </w:rPr>
        <w:t>S</w:t>
      </w:r>
      <w:r w:rsidRPr="001C43D8">
        <w:rPr>
          <w:rFonts w:asciiTheme="minorHAnsi" w:eastAsia="Times New Roman" w:hAnsiTheme="minorHAnsi" w:cstheme="minorHAnsi"/>
        </w:rPr>
        <w:t>upply</w:t>
      </w:r>
      <w:r w:rsidR="00A33453">
        <w:rPr>
          <w:rFonts w:asciiTheme="minorHAnsi" w:eastAsia="Times New Roman" w:hAnsiTheme="minorHAnsi" w:cstheme="minorHAnsi"/>
        </w:rPr>
        <w:t xml:space="preserve"> (“UPS”)</w:t>
      </w:r>
      <w:r w:rsidRPr="001C43D8">
        <w:rPr>
          <w:rFonts w:asciiTheme="minorHAnsi" w:eastAsia="Times New Roman" w:hAnsiTheme="minorHAnsi" w:cstheme="minorHAnsi"/>
        </w:rPr>
        <w:t xml:space="preserve"> applications. Relevant uses for Southern Company include UPS for substation auxiliary power and backup power for telecommunication towers.</w:t>
      </w:r>
    </w:p>
    <w:p w14:paraId="15549EAA" w14:textId="3EE02C25" w:rsidR="00B93847" w:rsidRPr="00B93847" w:rsidRDefault="00B93847" w:rsidP="00B93847">
      <w:pPr>
        <w:rPr>
          <w:rFonts w:asciiTheme="minorHAnsi" w:eastAsia="Times New Roman" w:hAnsiTheme="minorHAnsi" w:cstheme="minorHAnsi"/>
        </w:rPr>
      </w:pPr>
      <w:r w:rsidRPr="001C43D8">
        <w:rPr>
          <w:rFonts w:asciiTheme="minorHAnsi" w:hAnsiTheme="minorHAnsi" w:cstheme="minorHAnsi"/>
          <w:b/>
          <w:i/>
        </w:rPr>
        <w:t>Microgrid at Georgia Tech’s Tech Square (High-Performance Computing Center)</w:t>
      </w:r>
      <w:r w:rsidRPr="001C43D8">
        <w:rPr>
          <w:rFonts w:asciiTheme="minorHAnsi" w:eastAsia="Times New Roman" w:hAnsiTheme="minorHAnsi" w:cstheme="minorHAnsi"/>
        </w:rPr>
        <w:t xml:space="preserve"> – Georgia Power and Southern Company are partnering with Georgia Tech to develop a microgrid test bed. This project will demonstrate the integration and control of multiple distributed energy resources within a microgrid. DER assets will be located on-site at Georgia Tech and feature solid-oxide fuel cell, battery energy storage system</w:t>
      </w:r>
      <w:r w:rsidR="00E87D10">
        <w:rPr>
          <w:rFonts w:asciiTheme="minorHAnsi" w:eastAsia="Times New Roman" w:hAnsiTheme="minorHAnsi" w:cstheme="minorHAnsi"/>
        </w:rPr>
        <w:t>,</w:t>
      </w:r>
      <w:r w:rsidRPr="001C43D8">
        <w:rPr>
          <w:rFonts w:asciiTheme="minorHAnsi" w:eastAsia="Times New Roman" w:hAnsiTheme="minorHAnsi" w:cstheme="minorHAnsi"/>
        </w:rPr>
        <w:t xml:space="preserve"> and natural gas and diesel fueled generators. This project will help the company understand utility and customer benefits of microgrids and serve as a research platform to demonstrate new distributed energy technologies.</w:t>
      </w:r>
    </w:p>
    <w:p w14:paraId="10EB5DAD" w14:textId="77777777" w:rsidR="00E82DC7" w:rsidRDefault="00E82DC7" w:rsidP="00E33B8A">
      <w:pPr>
        <w:pStyle w:val="1B"/>
        <w:sectPr w:rsidR="00E82DC7" w:rsidSect="00A63672">
          <w:footerReference w:type="default" r:id="rId26"/>
          <w:type w:val="continuous"/>
          <w:pgSz w:w="12240" w:h="15840"/>
          <w:pgMar w:top="1440" w:right="1440" w:bottom="1440" w:left="1440" w:header="720" w:footer="432" w:gutter="0"/>
          <w:cols w:space="720"/>
          <w:docGrid w:linePitch="360"/>
        </w:sectPr>
      </w:pPr>
    </w:p>
    <w:p w14:paraId="3AE5705D" w14:textId="4CE8900F" w:rsidR="0077315D" w:rsidRDefault="004A2729" w:rsidP="00E33B8A">
      <w:pPr>
        <w:pStyle w:val="1B"/>
      </w:pPr>
      <w:bookmarkStart w:id="308" w:name="_Toc536209182"/>
      <w:r w:rsidRPr="00E33B8A">
        <w:t>ACRONYM</w:t>
      </w:r>
      <w:r w:rsidR="0077315D" w:rsidRPr="00E33B8A">
        <w:t>S</w:t>
      </w:r>
      <w:r w:rsidR="00CE7E7E">
        <w:t>, ABBREVIATIONS, AND TERMINOLOGY</w:t>
      </w:r>
      <w:bookmarkEnd w:id="308"/>
    </w:p>
    <w:tbl>
      <w:tblPr>
        <w:tblStyle w:val="TableGrid"/>
        <w:tblW w:w="9360" w:type="dxa"/>
        <w:tblLook w:val="04A0" w:firstRow="1" w:lastRow="0" w:firstColumn="1" w:lastColumn="0" w:noHBand="0" w:noVBand="1"/>
      </w:tblPr>
      <w:tblGrid>
        <w:gridCol w:w="2678"/>
        <w:gridCol w:w="6682"/>
      </w:tblGrid>
      <w:tr w:rsidR="0021743E" w:rsidRPr="001E1FF2" w14:paraId="79A67FFA" w14:textId="77777777" w:rsidTr="001C2E23">
        <w:trPr>
          <w:trHeight w:val="360"/>
        </w:trPr>
        <w:tc>
          <w:tcPr>
            <w:tcW w:w="2678" w:type="dxa"/>
            <w:vAlign w:val="center"/>
          </w:tcPr>
          <w:p w14:paraId="3532E556" w14:textId="16B1E1D3" w:rsidR="0021743E" w:rsidRPr="0021743E" w:rsidRDefault="0021743E" w:rsidP="001E1FF2">
            <w:pPr>
              <w:spacing w:after="0" w:line="240" w:lineRule="auto"/>
              <w:jc w:val="left"/>
              <w:rPr>
                <w:rFonts w:asciiTheme="minorHAnsi" w:hAnsiTheme="minorHAnsi" w:cstheme="minorHAnsi"/>
                <w:b/>
                <w:sz w:val="22"/>
              </w:rPr>
            </w:pPr>
            <w:r w:rsidRPr="0021743E">
              <w:rPr>
                <w:rFonts w:asciiTheme="minorHAnsi" w:hAnsiTheme="minorHAnsi" w:cstheme="minorHAnsi"/>
                <w:b/>
                <w:sz w:val="22"/>
              </w:rPr>
              <w:t>2016 IRP Order</w:t>
            </w:r>
          </w:p>
        </w:tc>
        <w:tc>
          <w:tcPr>
            <w:tcW w:w="6682" w:type="dxa"/>
          </w:tcPr>
          <w:p w14:paraId="7C94F5CC" w14:textId="3B336A23" w:rsidR="0021743E" w:rsidRPr="0021743E" w:rsidRDefault="0021743E" w:rsidP="001E1FF2">
            <w:pPr>
              <w:spacing w:after="0" w:line="240" w:lineRule="auto"/>
              <w:jc w:val="left"/>
              <w:rPr>
                <w:rFonts w:asciiTheme="minorHAnsi" w:hAnsiTheme="minorHAnsi" w:cstheme="minorHAnsi"/>
                <w:sz w:val="22"/>
              </w:rPr>
            </w:pPr>
            <w:r w:rsidRPr="0021743E">
              <w:rPr>
                <w:rFonts w:asciiTheme="minorHAnsi" w:hAnsiTheme="minorHAnsi" w:cstheme="minorHAnsi"/>
                <w:sz w:val="22"/>
              </w:rPr>
              <w:t>Commission Order on Aug</w:t>
            </w:r>
            <w:r w:rsidR="000F66E6">
              <w:rPr>
                <w:rFonts w:asciiTheme="minorHAnsi" w:hAnsiTheme="minorHAnsi" w:cstheme="minorHAnsi"/>
                <w:sz w:val="22"/>
              </w:rPr>
              <w:t>ust</w:t>
            </w:r>
            <w:r w:rsidRPr="0021743E">
              <w:rPr>
                <w:rFonts w:asciiTheme="minorHAnsi" w:hAnsiTheme="minorHAnsi" w:cstheme="minorHAnsi"/>
                <w:sz w:val="22"/>
              </w:rPr>
              <w:t xml:space="preserve"> 2, 2016, approving the 2016 IRP with modifications</w:t>
            </w:r>
          </w:p>
        </w:tc>
      </w:tr>
      <w:tr w:rsidR="001C2E23" w:rsidRPr="001E1FF2" w14:paraId="79B62610" w14:textId="77777777" w:rsidTr="001C2E23">
        <w:trPr>
          <w:trHeight w:val="360"/>
        </w:trPr>
        <w:tc>
          <w:tcPr>
            <w:tcW w:w="2678" w:type="dxa"/>
            <w:vAlign w:val="center"/>
          </w:tcPr>
          <w:p w14:paraId="518D8DC4" w14:textId="77777777" w:rsidR="001C2E23" w:rsidRPr="001E1FF2" w:rsidRDefault="001C2E23" w:rsidP="001E1FF2">
            <w:pPr>
              <w:spacing w:after="0" w:line="240" w:lineRule="auto"/>
              <w:jc w:val="left"/>
              <w:rPr>
                <w:rFonts w:asciiTheme="minorHAnsi" w:hAnsiTheme="minorHAnsi" w:cstheme="minorHAnsi"/>
                <w:b/>
                <w:sz w:val="22"/>
              </w:rPr>
            </w:pPr>
            <w:bookmarkStart w:id="309" w:name="_Hlk533165383"/>
            <w:r w:rsidRPr="001E1FF2">
              <w:rPr>
                <w:rFonts w:asciiTheme="minorHAnsi" w:hAnsiTheme="minorHAnsi" w:cstheme="minorHAnsi"/>
                <w:b/>
                <w:sz w:val="22"/>
              </w:rPr>
              <w:t>2019 Decertification Application</w:t>
            </w:r>
          </w:p>
        </w:tc>
        <w:tc>
          <w:tcPr>
            <w:tcW w:w="6682" w:type="dxa"/>
          </w:tcPr>
          <w:p w14:paraId="3E846F7F" w14:textId="56390C9A"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sz w:val="22"/>
              </w:rPr>
              <w:t>Application for Decertification of Plant Hammond Units 1-4, Plant McIntosh Unit 1, Plant Estatoah Unit 1, Plant Lan</w:t>
            </w:r>
            <w:r w:rsidR="00B172C0">
              <w:rPr>
                <w:rFonts w:asciiTheme="minorHAnsi" w:hAnsiTheme="minorHAnsi" w:cstheme="minorHAnsi"/>
                <w:sz w:val="22"/>
              </w:rPr>
              <w:t>g</w:t>
            </w:r>
            <w:r w:rsidRPr="001E1FF2">
              <w:rPr>
                <w:rFonts w:asciiTheme="minorHAnsi" w:hAnsiTheme="minorHAnsi" w:cstheme="minorHAnsi"/>
                <w:sz w:val="22"/>
              </w:rPr>
              <w:t xml:space="preserve">dale Units 5-6, </w:t>
            </w:r>
            <w:r w:rsidR="000F66E6">
              <w:rPr>
                <w:rFonts w:asciiTheme="minorHAnsi" w:hAnsiTheme="minorHAnsi" w:cstheme="minorHAnsi"/>
                <w:sz w:val="22"/>
              </w:rPr>
              <w:t xml:space="preserve">and </w:t>
            </w:r>
            <w:r w:rsidRPr="001E1FF2">
              <w:rPr>
                <w:rFonts w:asciiTheme="minorHAnsi" w:hAnsiTheme="minorHAnsi" w:cstheme="minorHAnsi"/>
                <w:sz w:val="22"/>
              </w:rPr>
              <w:t>Plant Riverview Units 1-2</w:t>
            </w:r>
          </w:p>
        </w:tc>
      </w:tr>
      <w:tr w:rsidR="001C2E23" w:rsidRPr="001E1FF2" w14:paraId="61DE1C00" w14:textId="77777777" w:rsidTr="001C2E23">
        <w:trPr>
          <w:trHeight w:val="360"/>
        </w:trPr>
        <w:tc>
          <w:tcPr>
            <w:tcW w:w="2678" w:type="dxa"/>
            <w:vAlign w:val="center"/>
          </w:tcPr>
          <w:p w14:paraId="5BDF263A" w14:textId="77777777" w:rsidR="001C2E23" w:rsidRPr="001E1FF2" w:rsidRDefault="001C2E23"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2019 IRP or IRP</w:t>
            </w:r>
          </w:p>
        </w:tc>
        <w:tc>
          <w:tcPr>
            <w:tcW w:w="6682" w:type="dxa"/>
            <w:vAlign w:val="center"/>
          </w:tcPr>
          <w:p w14:paraId="1ACA6700"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2019 Integrated Resource Plan</w:t>
            </w:r>
          </w:p>
        </w:tc>
      </w:tr>
      <w:tr w:rsidR="001204DD" w:rsidRPr="001E1FF2" w14:paraId="6E28FCA5" w14:textId="77777777" w:rsidTr="001C2E23">
        <w:trPr>
          <w:trHeight w:val="360"/>
        </w:trPr>
        <w:tc>
          <w:tcPr>
            <w:tcW w:w="2678" w:type="dxa"/>
            <w:vAlign w:val="center"/>
          </w:tcPr>
          <w:p w14:paraId="528F1EFF" w14:textId="62144408" w:rsidR="001204DD" w:rsidRPr="001E1FF2" w:rsidRDefault="001204DD"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2022-2023 RFP</w:t>
            </w:r>
          </w:p>
        </w:tc>
        <w:tc>
          <w:tcPr>
            <w:tcW w:w="6682" w:type="dxa"/>
            <w:vAlign w:val="center"/>
          </w:tcPr>
          <w:p w14:paraId="57A4F3C7" w14:textId="436ACCCD" w:rsidR="001204DD" w:rsidRPr="001E1FF2" w:rsidRDefault="001204DD"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Capacity-based RFP seeking resources that can provide capacity beginning in 2022</w:t>
            </w:r>
            <w:r w:rsidR="007F3CF6" w:rsidRPr="001E1FF2">
              <w:rPr>
                <w:rFonts w:asciiTheme="minorHAnsi" w:hAnsiTheme="minorHAnsi" w:cstheme="minorHAnsi"/>
                <w:bCs/>
                <w:color w:val="4D4D4D"/>
                <w:sz w:val="22"/>
              </w:rPr>
              <w:t>-</w:t>
            </w:r>
            <w:r w:rsidRPr="001E1FF2">
              <w:rPr>
                <w:rFonts w:asciiTheme="minorHAnsi" w:hAnsiTheme="minorHAnsi" w:cstheme="minorHAnsi"/>
                <w:bCs/>
                <w:color w:val="4D4D4D"/>
                <w:sz w:val="22"/>
              </w:rPr>
              <w:t>2023</w:t>
            </w:r>
          </w:p>
        </w:tc>
      </w:tr>
      <w:tr w:rsidR="007F3CF6" w:rsidRPr="001E1FF2" w14:paraId="0BFE6AFD" w14:textId="77777777" w:rsidTr="001C2E23">
        <w:trPr>
          <w:trHeight w:val="360"/>
        </w:trPr>
        <w:tc>
          <w:tcPr>
            <w:tcW w:w="2678" w:type="dxa"/>
            <w:vAlign w:val="center"/>
          </w:tcPr>
          <w:p w14:paraId="3CE38DA5" w14:textId="2CABE36C" w:rsidR="007F3CF6" w:rsidRPr="001E1FF2" w:rsidRDefault="007F3CF6"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2026-2028 RFP</w:t>
            </w:r>
          </w:p>
        </w:tc>
        <w:tc>
          <w:tcPr>
            <w:tcW w:w="6682" w:type="dxa"/>
            <w:vAlign w:val="center"/>
          </w:tcPr>
          <w:p w14:paraId="00BDCA16" w14:textId="4C75F44E" w:rsidR="007F3CF6" w:rsidRPr="001E1FF2" w:rsidRDefault="007F3CF6"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Capacity-based RFP seeking resources that can provide capacity beginning in 2026-2028</w:t>
            </w:r>
          </w:p>
        </w:tc>
      </w:tr>
      <w:tr w:rsidR="001C2E23" w:rsidRPr="001E1FF2" w14:paraId="310ACD4B" w14:textId="77777777" w:rsidTr="001C2E23">
        <w:trPr>
          <w:trHeight w:val="360"/>
        </w:trPr>
        <w:tc>
          <w:tcPr>
            <w:tcW w:w="2678" w:type="dxa"/>
            <w:vAlign w:val="center"/>
          </w:tcPr>
          <w:p w14:paraId="20E52443" w14:textId="77777777" w:rsidR="001C2E23" w:rsidRPr="001E1FF2" w:rsidRDefault="001C2E23"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ABWR</w:t>
            </w:r>
          </w:p>
        </w:tc>
        <w:tc>
          <w:tcPr>
            <w:tcW w:w="6682" w:type="dxa"/>
            <w:vAlign w:val="center"/>
          </w:tcPr>
          <w:p w14:paraId="11ACE646"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Advanced Boiling Water Reactor</w:t>
            </w:r>
          </w:p>
        </w:tc>
      </w:tr>
      <w:tr w:rsidR="001C2E23" w:rsidRPr="001E1FF2" w14:paraId="62FC5D10" w14:textId="77777777" w:rsidTr="001C2E23">
        <w:trPr>
          <w:trHeight w:val="360"/>
        </w:trPr>
        <w:tc>
          <w:tcPr>
            <w:tcW w:w="2678" w:type="dxa"/>
            <w:vAlign w:val="center"/>
          </w:tcPr>
          <w:p w14:paraId="06728320" w14:textId="77777777" w:rsidR="001C2E23" w:rsidRPr="001E1FF2" w:rsidRDefault="001C2E23"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AC</w:t>
            </w:r>
          </w:p>
        </w:tc>
        <w:tc>
          <w:tcPr>
            <w:tcW w:w="6682" w:type="dxa"/>
            <w:vAlign w:val="center"/>
          </w:tcPr>
          <w:p w14:paraId="721D2409"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Alternating Current</w:t>
            </w:r>
          </w:p>
        </w:tc>
      </w:tr>
      <w:tr w:rsidR="001C2E23" w:rsidRPr="001E1FF2" w14:paraId="0F144A90" w14:textId="77777777" w:rsidTr="001C2E23">
        <w:trPr>
          <w:trHeight w:val="360"/>
        </w:trPr>
        <w:tc>
          <w:tcPr>
            <w:tcW w:w="2678" w:type="dxa"/>
            <w:vAlign w:val="center"/>
          </w:tcPr>
          <w:p w14:paraId="068B08F4" w14:textId="77777777" w:rsidR="001C2E23" w:rsidRPr="001E1FF2" w:rsidRDefault="001C2E23"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ACE</w:t>
            </w:r>
          </w:p>
        </w:tc>
        <w:tc>
          <w:tcPr>
            <w:tcW w:w="6682" w:type="dxa"/>
            <w:vAlign w:val="center"/>
          </w:tcPr>
          <w:p w14:paraId="1EE33FD3"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Affordable Clean Energy</w:t>
            </w:r>
          </w:p>
        </w:tc>
      </w:tr>
      <w:tr w:rsidR="007614D2" w:rsidRPr="001E1FF2" w14:paraId="680F634E" w14:textId="77777777" w:rsidTr="001C2E23">
        <w:trPr>
          <w:trHeight w:val="360"/>
        </w:trPr>
        <w:tc>
          <w:tcPr>
            <w:tcW w:w="2678" w:type="dxa"/>
            <w:vAlign w:val="center"/>
          </w:tcPr>
          <w:p w14:paraId="73FE46E0" w14:textId="2AECB3CE" w:rsidR="007614D2" w:rsidRPr="007614D2" w:rsidRDefault="007614D2" w:rsidP="001E1FF2">
            <w:pPr>
              <w:spacing w:after="0" w:line="240" w:lineRule="auto"/>
              <w:jc w:val="left"/>
              <w:rPr>
                <w:rFonts w:asciiTheme="minorHAnsi" w:hAnsiTheme="minorHAnsi" w:cstheme="minorHAnsi"/>
                <w:b/>
                <w:bCs/>
                <w:color w:val="4D4D4D"/>
                <w:sz w:val="22"/>
              </w:rPr>
            </w:pPr>
            <w:r w:rsidRPr="007614D2">
              <w:rPr>
                <w:rFonts w:asciiTheme="minorHAnsi" w:hAnsiTheme="minorHAnsi" w:cstheme="minorHAnsi"/>
                <w:b/>
                <w:bCs/>
                <w:color w:val="4D4D4D"/>
                <w:sz w:val="22"/>
              </w:rPr>
              <w:t>ADMS</w:t>
            </w:r>
          </w:p>
        </w:tc>
        <w:tc>
          <w:tcPr>
            <w:tcW w:w="6682" w:type="dxa"/>
            <w:vAlign w:val="center"/>
          </w:tcPr>
          <w:p w14:paraId="7CF1EC9E" w14:textId="5980381D" w:rsidR="007614D2" w:rsidRPr="007614D2" w:rsidRDefault="007614D2" w:rsidP="001E1FF2">
            <w:pPr>
              <w:spacing w:after="0" w:line="240" w:lineRule="auto"/>
              <w:jc w:val="left"/>
              <w:rPr>
                <w:rFonts w:asciiTheme="minorHAnsi" w:hAnsiTheme="minorHAnsi" w:cstheme="minorHAnsi"/>
                <w:bCs/>
                <w:color w:val="4D4D4D"/>
                <w:sz w:val="22"/>
              </w:rPr>
            </w:pPr>
            <w:r w:rsidRPr="007614D2">
              <w:rPr>
                <w:sz w:val="22"/>
              </w:rPr>
              <w:t>Advanced Distribution Management Systems</w:t>
            </w:r>
          </w:p>
        </w:tc>
      </w:tr>
      <w:tr w:rsidR="00B9370A" w:rsidRPr="001E1FF2" w14:paraId="0AADCCE8" w14:textId="77777777" w:rsidTr="001C2E23">
        <w:trPr>
          <w:trHeight w:val="360"/>
        </w:trPr>
        <w:tc>
          <w:tcPr>
            <w:tcW w:w="2678" w:type="dxa"/>
            <w:vAlign w:val="center"/>
          </w:tcPr>
          <w:p w14:paraId="555C3224" w14:textId="77A29849" w:rsidR="00B9370A" w:rsidRPr="001E1FF2" w:rsidRDefault="000F66E6" w:rsidP="001E1FF2">
            <w:pPr>
              <w:spacing w:after="0" w:line="240" w:lineRule="auto"/>
              <w:jc w:val="left"/>
              <w:rPr>
                <w:rFonts w:asciiTheme="minorHAnsi" w:hAnsiTheme="minorHAnsi" w:cstheme="minorHAnsi"/>
                <w:b/>
                <w:bCs/>
                <w:color w:val="4D4D4D"/>
                <w:sz w:val="22"/>
              </w:rPr>
            </w:pPr>
            <w:r>
              <w:rPr>
                <w:rFonts w:asciiTheme="minorHAnsi" w:hAnsiTheme="minorHAnsi" w:cstheme="minorHAnsi"/>
                <w:b/>
                <w:bCs/>
                <w:color w:val="4D4D4D"/>
                <w:sz w:val="22"/>
              </w:rPr>
              <w:t xml:space="preserve">DSMWG’s </w:t>
            </w:r>
            <w:r w:rsidR="00B9370A" w:rsidRPr="001E1FF2">
              <w:rPr>
                <w:rFonts w:asciiTheme="minorHAnsi" w:hAnsiTheme="minorHAnsi" w:cstheme="minorHAnsi"/>
                <w:b/>
                <w:bCs/>
                <w:color w:val="4D4D4D"/>
                <w:sz w:val="22"/>
              </w:rPr>
              <w:t>Advocacy Case</w:t>
            </w:r>
          </w:p>
        </w:tc>
        <w:tc>
          <w:tcPr>
            <w:tcW w:w="6682" w:type="dxa"/>
            <w:vAlign w:val="center"/>
          </w:tcPr>
          <w:p w14:paraId="4CFC6B50" w14:textId="657F66A7" w:rsidR="00B9370A" w:rsidRPr="001E1FF2" w:rsidRDefault="00B9370A"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DSM sensitivity based on DSMWG recommendations</w:t>
            </w:r>
          </w:p>
        </w:tc>
      </w:tr>
      <w:tr w:rsidR="001C2E23" w:rsidRPr="001E1FF2" w14:paraId="7088A73C" w14:textId="77777777" w:rsidTr="001C2E23">
        <w:trPr>
          <w:trHeight w:val="360"/>
        </w:trPr>
        <w:tc>
          <w:tcPr>
            <w:tcW w:w="2678" w:type="dxa"/>
            <w:vAlign w:val="center"/>
          </w:tcPr>
          <w:p w14:paraId="187D1FAD" w14:textId="77777777" w:rsidR="001C2E23" w:rsidRPr="001E1FF2" w:rsidRDefault="001C2E23"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AFBC</w:t>
            </w:r>
          </w:p>
        </w:tc>
        <w:tc>
          <w:tcPr>
            <w:tcW w:w="6682" w:type="dxa"/>
            <w:vAlign w:val="center"/>
          </w:tcPr>
          <w:p w14:paraId="1334ED84"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Atmospheric Fluidized Bed Combustion</w:t>
            </w:r>
          </w:p>
        </w:tc>
      </w:tr>
      <w:tr w:rsidR="00B9370A" w:rsidRPr="001E1FF2" w14:paraId="56E8BD22" w14:textId="77777777" w:rsidTr="001C2E23">
        <w:trPr>
          <w:trHeight w:val="360"/>
        </w:trPr>
        <w:tc>
          <w:tcPr>
            <w:tcW w:w="2678" w:type="dxa"/>
            <w:vAlign w:val="center"/>
          </w:tcPr>
          <w:p w14:paraId="6FC9C05A" w14:textId="05CEE645" w:rsidR="00B9370A" w:rsidRPr="001E1FF2" w:rsidRDefault="00B9370A"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Aggressive Case</w:t>
            </w:r>
          </w:p>
        </w:tc>
        <w:tc>
          <w:tcPr>
            <w:tcW w:w="6682" w:type="dxa"/>
            <w:vAlign w:val="center"/>
          </w:tcPr>
          <w:p w14:paraId="29E525D2" w14:textId="6F205C8D" w:rsidR="00B9370A" w:rsidRPr="001E1FF2" w:rsidRDefault="00B9370A"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DSM sensitivity outlined in the DSM Program Planning Approach</w:t>
            </w:r>
          </w:p>
        </w:tc>
      </w:tr>
      <w:tr w:rsidR="00772218" w:rsidRPr="001E1FF2" w14:paraId="468651B5" w14:textId="77777777" w:rsidTr="001C2E23">
        <w:trPr>
          <w:trHeight w:val="360"/>
        </w:trPr>
        <w:tc>
          <w:tcPr>
            <w:tcW w:w="2678" w:type="dxa"/>
            <w:vAlign w:val="center"/>
          </w:tcPr>
          <w:p w14:paraId="5737DA03" w14:textId="59D33B75" w:rsidR="00772218" w:rsidRPr="001E1FF2" w:rsidRDefault="0077221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Alabama Power</w:t>
            </w:r>
          </w:p>
        </w:tc>
        <w:tc>
          <w:tcPr>
            <w:tcW w:w="6682" w:type="dxa"/>
            <w:vAlign w:val="center"/>
          </w:tcPr>
          <w:p w14:paraId="14B38873" w14:textId="340FE96C" w:rsidR="00772218" w:rsidRPr="001E1FF2" w:rsidRDefault="0077221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Alabama Power Company</w:t>
            </w:r>
          </w:p>
        </w:tc>
      </w:tr>
      <w:tr w:rsidR="001C2E23" w:rsidRPr="001E1FF2" w14:paraId="774D9483" w14:textId="77777777" w:rsidTr="001C2E23">
        <w:trPr>
          <w:trHeight w:val="360"/>
        </w:trPr>
        <w:tc>
          <w:tcPr>
            <w:tcW w:w="2678" w:type="dxa"/>
            <w:vAlign w:val="center"/>
          </w:tcPr>
          <w:p w14:paraId="4584912C" w14:textId="77777777" w:rsidR="001C2E23" w:rsidRPr="001E1FF2" w:rsidRDefault="001C2E23"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AMI</w:t>
            </w:r>
          </w:p>
        </w:tc>
        <w:tc>
          <w:tcPr>
            <w:tcW w:w="6682" w:type="dxa"/>
            <w:vAlign w:val="center"/>
          </w:tcPr>
          <w:p w14:paraId="09C21FE0" w14:textId="2CF05DAD" w:rsidR="001C2E23" w:rsidRPr="001E1FF2" w:rsidRDefault="00DA619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Automated</w:t>
            </w:r>
            <w:r w:rsidR="001C2E23" w:rsidRPr="001E1FF2">
              <w:rPr>
                <w:rFonts w:asciiTheme="minorHAnsi" w:hAnsiTheme="minorHAnsi" w:cstheme="minorHAnsi"/>
                <w:bCs/>
                <w:color w:val="4D4D4D"/>
                <w:sz w:val="22"/>
              </w:rPr>
              <w:t xml:space="preserve"> Metering Infrastructure</w:t>
            </w:r>
          </w:p>
        </w:tc>
      </w:tr>
      <w:tr w:rsidR="001C2E23" w:rsidRPr="001E1FF2" w14:paraId="1AE50513" w14:textId="77777777" w:rsidTr="001C2E23">
        <w:trPr>
          <w:trHeight w:val="360"/>
        </w:trPr>
        <w:tc>
          <w:tcPr>
            <w:tcW w:w="2678" w:type="dxa"/>
            <w:vAlign w:val="center"/>
          </w:tcPr>
          <w:p w14:paraId="76475202" w14:textId="77777777" w:rsidR="001C2E23" w:rsidRPr="001E1FF2" w:rsidRDefault="001C2E23"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APWR</w:t>
            </w:r>
          </w:p>
        </w:tc>
        <w:tc>
          <w:tcPr>
            <w:tcW w:w="6682" w:type="dxa"/>
            <w:vAlign w:val="center"/>
          </w:tcPr>
          <w:p w14:paraId="292210A3"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Advanced Pressurized Water Reactor</w:t>
            </w:r>
          </w:p>
        </w:tc>
      </w:tr>
      <w:tr w:rsidR="00DA6193" w:rsidRPr="001E1FF2" w14:paraId="5E2CFB39" w14:textId="77777777" w:rsidTr="001C2E23">
        <w:trPr>
          <w:trHeight w:val="360"/>
        </w:trPr>
        <w:tc>
          <w:tcPr>
            <w:tcW w:w="2678" w:type="dxa"/>
            <w:vAlign w:val="center"/>
          </w:tcPr>
          <w:p w14:paraId="0EABC4C8" w14:textId="57367A54" w:rsidR="00DA6193" w:rsidRPr="001E1FF2" w:rsidRDefault="00DA619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ARO</w:t>
            </w:r>
          </w:p>
        </w:tc>
        <w:tc>
          <w:tcPr>
            <w:tcW w:w="6682" w:type="dxa"/>
            <w:vAlign w:val="center"/>
          </w:tcPr>
          <w:p w14:paraId="6EA8D62A" w14:textId="6F0E2675" w:rsidR="00DA6193" w:rsidRPr="001E1FF2" w:rsidRDefault="00DA6193"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Asset Retirement Obligation</w:t>
            </w:r>
          </w:p>
        </w:tc>
      </w:tr>
      <w:tr w:rsidR="001C2E23" w:rsidRPr="001E1FF2" w14:paraId="67A86E35" w14:textId="77777777" w:rsidTr="001C2E23">
        <w:trPr>
          <w:trHeight w:val="360"/>
        </w:trPr>
        <w:tc>
          <w:tcPr>
            <w:tcW w:w="2678" w:type="dxa"/>
            <w:vAlign w:val="center"/>
          </w:tcPr>
          <w:p w14:paraId="5F0064CB" w14:textId="77777777" w:rsidR="001C2E23" w:rsidRPr="001E1FF2" w:rsidRDefault="001C2E23"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ASI</w:t>
            </w:r>
          </w:p>
        </w:tc>
        <w:tc>
          <w:tcPr>
            <w:tcW w:w="6682" w:type="dxa"/>
            <w:vAlign w:val="center"/>
          </w:tcPr>
          <w:p w14:paraId="2D27B71C"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Advanced Solar Initiative</w:t>
            </w:r>
          </w:p>
        </w:tc>
      </w:tr>
      <w:tr w:rsidR="001C2E23" w:rsidRPr="001E1FF2" w14:paraId="2DBF838B" w14:textId="77777777" w:rsidTr="001C2E23">
        <w:trPr>
          <w:trHeight w:val="360"/>
        </w:trPr>
        <w:tc>
          <w:tcPr>
            <w:tcW w:w="2678" w:type="dxa"/>
            <w:vAlign w:val="center"/>
          </w:tcPr>
          <w:p w14:paraId="4398DA92" w14:textId="2AD7D4FB" w:rsidR="001C2E23" w:rsidRPr="001E1FF2" w:rsidRDefault="003F7D7E"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AURORA</w:t>
            </w:r>
          </w:p>
        </w:tc>
        <w:tc>
          <w:tcPr>
            <w:tcW w:w="6682" w:type="dxa"/>
            <w:vAlign w:val="center"/>
          </w:tcPr>
          <w:p w14:paraId="5A05DB6B" w14:textId="42961BD7" w:rsidR="001C2E23" w:rsidRPr="001E1FF2" w:rsidRDefault="00234F4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 xml:space="preserve">See model description in </w:t>
            </w:r>
            <w:r w:rsidRPr="001E1FF2">
              <w:rPr>
                <w:rFonts w:asciiTheme="minorHAnsi" w:hAnsiTheme="minorHAnsi" w:cstheme="minorHAnsi"/>
                <w:bCs/>
                <w:color w:val="4D4D4D"/>
              </w:rPr>
              <w:fldChar w:fldCharType="begin"/>
            </w:r>
            <w:r w:rsidRPr="001E1FF2">
              <w:rPr>
                <w:rFonts w:asciiTheme="minorHAnsi" w:hAnsiTheme="minorHAnsi" w:cstheme="minorHAnsi"/>
                <w:bCs/>
                <w:color w:val="4D4D4D"/>
                <w:sz w:val="22"/>
              </w:rPr>
              <w:instrText xml:space="preserve"> REF _Ref533152626 \n \h </w:instrText>
            </w:r>
            <w:r w:rsidR="001718F7" w:rsidRPr="001E1FF2">
              <w:rPr>
                <w:rFonts w:asciiTheme="minorHAnsi" w:hAnsiTheme="minorHAnsi" w:cstheme="minorHAnsi"/>
                <w:bCs/>
                <w:color w:val="4D4D4D"/>
                <w:sz w:val="22"/>
              </w:rPr>
              <w:instrText xml:space="preserve"> \* MERGEFORMAT </w:instrText>
            </w:r>
            <w:r w:rsidRPr="001E1FF2">
              <w:rPr>
                <w:rFonts w:asciiTheme="minorHAnsi" w:hAnsiTheme="minorHAnsi" w:cstheme="minorHAnsi"/>
                <w:bCs/>
                <w:color w:val="4D4D4D"/>
              </w:rPr>
            </w:r>
            <w:r w:rsidRPr="001E1FF2">
              <w:rPr>
                <w:rFonts w:asciiTheme="minorHAnsi" w:hAnsiTheme="minorHAnsi" w:cstheme="minorHAnsi"/>
                <w:bCs/>
                <w:color w:val="4D4D4D"/>
              </w:rPr>
              <w:fldChar w:fldCharType="separate"/>
            </w:r>
            <w:r w:rsidR="00F33DA2">
              <w:rPr>
                <w:rFonts w:asciiTheme="minorHAnsi" w:hAnsiTheme="minorHAnsi" w:cstheme="minorHAnsi"/>
                <w:bCs/>
                <w:color w:val="4D4D4D"/>
                <w:sz w:val="22"/>
              </w:rPr>
              <w:t>ATTACHMENT A</w:t>
            </w:r>
            <w:r w:rsidRPr="001E1FF2">
              <w:rPr>
                <w:rFonts w:asciiTheme="minorHAnsi" w:hAnsiTheme="minorHAnsi" w:cstheme="minorHAnsi"/>
                <w:bCs/>
                <w:color w:val="4D4D4D"/>
              </w:rPr>
              <w:fldChar w:fldCharType="end"/>
            </w:r>
          </w:p>
        </w:tc>
      </w:tr>
      <w:tr w:rsidR="001C2E23" w:rsidRPr="001E1FF2" w14:paraId="1DB5346A" w14:textId="77777777" w:rsidTr="001C2E23">
        <w:trPr>
          <w:trHeight w:val="360"/>
        </w:trPr>
        <w:tc>
          <w:tcPr>
            <w:tcW w:w="2678" w:type="dxa"/>
            <w:vAlign w:val="center"/>
          </w:tcPr>
          <w:p w14:paraId="27264603" w14:textId="77777777" w:rsidR="001C2E23" w:rsidRPr="001E1FF2" w:rsidRDefault="001C2E23" w:rsidP="001E1FF2">
            <w:pPr>
              <w:spacing w:after="0" w:line="240" w:lineRule="auto"/>
              <w:jc w:val="left"/>
              <w:rPr>
                <w:rFonts w:asciiTheme="minorHAnsi" w:hAnsiTheme="minorHAnsi" w:cstheme="minorHAnsi"/>
                <w:b/>
                <w:sz w:val="22"/>
              </w:rPr>
            </w:pPr>
            <w:r w:rsidRPr="001E1FF2">
              <w:rPr>
                <w:rFonts w:asciiTheme="minorHAnsi" w:hAnsiTheme="minorHAnsi" w:cstheme="minorHAnsi"/>
                <w:b/>
                <w:bCs/>
                <w:color w:val="4D4D4D"/>
                <w:sz w:val="22"/>
              </w:rPr>
              <w:t>AUSC</w:t>
            </w:r>
          </w:p>
        </w:tc>
        <w:tc>
          <w:tcPr>
            <w:tcW w:w="6682" w:type="dxa"/>
            <w:vAlign w:val="center"/>
          </w:tcPr>
          <w:p w14:paraId="0258A4C1"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Advanced Ultrasupercritical</w:t>
            </w:r>
          </w:p>
        </w:tc>
      </w:tr>
      <w:tr w:rsidR="001C2E23" w:rsidRPr="001E1FF2" w14:paraId="3C342014" w14:textId="77777777" w:rsidTr="001C2E23">
        <w:trPr>
          <w:trHeight w:val="360"/>
        </w:trPr>
        <w:tc>
          <w:tcPr>
            <w:tcW w:w="2678" w:type="dxa"/>
            <w:vAlign w:val="center"/>
          </w:tcPr>
          <w:p w14:paraId="4BA8981B"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BESS</w:t>
            </w:r>
          </w:p>
        </w:tc>
        <w:tc>
          <w:tcPr>
            <w:tcW w:w="6682" w:type="dxa"/>
            <w:vAlign w:val="center"/>
          </w:tcPr>
          <w:p w14:paraId="1DE02D3C"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Battery Energy Storage Systems</w:t>
            </w:r>
          </w:p>
        </w:tc>
      </w:tr>
      <w:tr w:rsidR="007F3CF6" w:rsidRPr="001E1FF2" w14:paraId="1803EA20" w14:textId="77777777" w:rsidTr="001C2E23">
        <w:trPr>
          <w:trHeight w:val="360"/>
        </w:trPr>
        <w:tc>
          <w:tcPr>
            <w:tcW w:w="2678" w:type="dxa"/>
            <w:vAlign w:val="center"/>
          </w:tcPr>
          <w:p w14:paraId="5F5AF513" w14:textId="473B9D12" w:rsidR="007F3CF6" w:rsidRPr="001E1FF2" w:rsidRDefault="007F3CF6"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Blackstart Resource</w:t>
            </w:r>
          </w:p>
        </w:tc>
        <w:tc>
          <w:tcPr>
            <w:tcW w:w="6682" w:type="dxa"/>
            <w:vAlign w:val="center"/>
          </w:tcPr>
          <w:p w14:paraId="3F78CAAB" w14:textId="43FE281A" w:rsidR="007F3CF6" w:rsidRPr="001E1FF2" w:rsidRDefault="007F3CF6"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 xml:space="preserve">Defined in the </w:t>
            </w:r>
            <w:r w:rsidRPr="001E1FF2">
              <w:rPr>
                <w:rFonts w:asciiTheme="minorHAnsi" w:hAnsiTheme="minorHAnsi" w:cstheme="minorHAnsi"/>
                <w:sz w:val="22"/>
              </w:rPr>
              <w:t xml:space="preserve">Glossary of Terms Used </w:t>
            </w:r>
            <w:r w:rsidR="001718F7" w:rsidRPr="001E1FF2">
              <w:rPr>
                <w:rFonts w:asciiTheme="minorHAnsi" w:hAnsiTheme="minorHAnsi" w:cstheme="minorHAnsi"/>
                <w:sz w:val="22"/>
              </w:rPr>
              <w:t xml:space="preserve">in NERC Reliability Standards - </w:t>
            </w:r>
            <w:hyperlink r:id="rId27" w:history="1">
              <w:r w:rsidRPr="001E1FF2">
                <w:rPr>
                  <w:rStyle w:val="Hyperlink"/>
                  <w:rFonts w:asciiTheme="minorHAnsi" w:hAnsiTheme="minorHAnsi" w:cstheme="minorHAnsi"/>
                  <w:sz w:val="22"/>
                </w:rPr>
                <w:t>https://www.nerc.com/files/glossary_of_terms.pdf</w:t>
              </w:r>
            </w:hyperlink>
          </w:p>
        </w:tc>
      </w:tr>
      <w:tr w:rsidR="001C2E23" w:rsidRPr="001E1FF2" w14:paraId="2AA949F9" w14:textId="77777777" w:rsidTr="001C2E23">
        <w:trPr>
          <w:trHeight w:val="360"/>
        </w:trPr>
        <w:tc>
          <w:tcPr>
            <w:tcW w:w="2678" w:type="dxa"/>
            <w:vAlign w:val="center"/>
          </w:tcPr>
          <w:p w14:paraId="36BF6B78"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 xml:space="preserve">Budget 2019 </w:t>
            </w:r>
          </w:p>
        </w:tc>
        <w:tc>
          <w:tcPr>
            <w:tcW w:w="6682" w:type="dxa"/>
            <w:vAlign w:val="center"/>
          </w:tcPr>
          <w:p w14:paraId="688AAA04" w14:textId="29B609E9"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Budget 2019 Load and Energy Forecast</w:t>
            </w:r>
            <w:r w:rsidR="008922CA" w:rsidRPr="001E1FF2">
              <w:rPr>
                <w:rFonts w:asciiTheme="minorHAnsi" w:hAnsiTheme="minorHAnsi" w:cstheme="minorHAnsi"/>
                <w:bCs/>
                <w:color w:val="4D4D4D"/>
                <w:sz w:val="22"/>
              </w:rPr>
              <w:t>s</w:t>
            </w:r>
          </w:p>
        </w:tc>
      </w:tr>
      <w:tr w:rsidR="001C2E23" w:rsidRPr="001E1FF2" w14:paraId="5C355607" w14:textId="77777777" w:rsidTr="001C2E23">
        <w:trPr>
          <w:trHeight w:val="360"/>
        </w:trPr>
        <w:tc>
          <w:tcPr>
            <w:tcW w:w="2678" w:type="dxa"/>
            <w:vAlign w:val="center"/>
          </w:tcPr>
          <w:p w14:paraId="3B87AC39"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BWR</w:t>
            </w:r>
          </w:p>
        </w:tc>
        <w:tc>
          <w:tcPr>
            <w:tcW w:w="6682" w:type="dxa"/>
            <w:vAlign w:val="center"/>
          </w:tcPr>
          <w:p w14:paraId="5EE6ED95"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Boiling Water Reactor</w:t>
            </w:r>
          </w:p>
        </w:tc>
      </w:tr>
      <w:tr w:rsidR="001C2E23" w:rsidRPr="001E1FF2" w14:paraId="77FC5732" w14:textId="77777777" w:rsidTr="001C2E23">
        <w:trPr>
          <w:trHeight w:val="360"/>
        </w:trPr>
        <w:tc>
          <w:tcPr>
            <w:tcW w:w="2678" w:type="dxa"/>
            <w:vAlign w:val="center"/>
          </w:tcPr>
          <w:p w14:paraId="05322FC6"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C&amp;I</w:t>
            </w:r>
          </w:p>
        </w:tc>
        <w:tc>
          <w:tcPr>
            <w:tcW w:w="6682" w:type="dxa"/>
            <w:vAlign w:val="center"/>
          </w:tcPr>
          <w:p w14:paraId="715F819D"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Commercial and Industrial</w:t>
            </w:r>
          </w:p>
        </w:tc>
      </w:tr>
      <w:tr w:rsidR="001C2E23" w:rsidRPr="001E1FF2" w14:paraId="071C9F46" w14:textId="77777777" w:rsidTr="001C2E23">
        <w:trPr>
          <w:trHeight w:val="360"/>
        </w:trPr>
        <w:tc>
          <w:tcPr>
            <w:tcW w:w="2678" w:type="dxa"/>
            <w:vAlign w:val="center"/>
          </w:tcPr>
          <w:p w14:paraId="26AA2069"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CAES</w:t>
            </w:r>
          </w:p>
        </w:tc>
        <w:tc>
          <w:tcPr>
            <w:tcW w:w="6682" w:type="dxa"/>
            <w:vAlign w:val="center"/>
          </w:tcPr>
          <w:p w14:paraId="67AA30BD"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Compressed Air Energy Storage</w:t>
            </w:r>
          </w:p>
        </w:tc>
      </w:tr>
      <w:tr w:rsidR="00D20B8C" w:rsidRPr="001E1FF2" w14:paraId="46408872" w14:textId="77777777" w:rsidTr="001C2E23">
        <w:trPr>
          <w:trHeight w:val="360"/>
        </w:trPr>
        <w:tc>
          <w:tcPr>
            <w:tcW w:w="2678" w:type="dxa"/>
            <w:vAlign w:val="center"/>
          </w:tcPr>
          <w:p w14:paraId="528142DE" w14:textId="66E7786F" w:rsidR="00D20B8C" w:rsidRPr="001E1FF2" w:rsidRDefault="00D20B8C"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CBM</w:t>
            </w:r>
          </w:p>
        </w:tc>
        <w:tc>
          <w:tcPr>
            <w:tcW w:w="6682" w:type="dxa"/>
            <w:vAlign w:val="center"/>
          </w:tcPr>
          <w:p w14:paraId="43EF168A" w14:textId="58C493C6" w:rsidR="00D20B8C" w:rsidRPr="001E1FF2" w:rsidRDefault="00D20B8C"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Condition-based maintenance</w:t>
            </w:r>
          </w:p>
        </w:tc>
      </w:tr>
      <w:tr w:rsidR="001C2E23" w:rsidRPr="001E1FF2" w14:paraId="4B87E1C1" w14:textId="77777777" w:rsidTr="001C2E23">
        <w:trPr>
          <w:trHeight w:val="360"/>
        </w:trPr>
        <w:tc>
          <w:tcPr>
            <w:tcW w:w="2678" w:type="dxa"/>
            <w:vAlign w:val="center"/>
          </w:tcPr>
          <w:p w14:paraId="70170762"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CC</w:t>
            </w:r>
          </w:p>
        </w:tc>
        <w:tc>
          <w:tcPr>
            <w:tcW w:w="6682" w:type="dxa"/>
            <w:vAlign w:val="center"/>
          </w:tcPr>
          <w:p w14:paraId="3E833B54"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Combined Cycle</w:t>
            </w:r>
          </w:p>
        </w:tc>
      </w:tr>
      <w:tr w:rsidR="001C2E23" w:rsidRPr="001E1FF2" w14:paraId="3BDEB6DE" w14:textId="77777777" w:rsidTr="001C2E23">
        <w:trPr>
          <w:trHeight w:val="360"/>
        </w:trPr>
        <w:tc>
          <w:tcPr>
            <w:tcW w:w="2678" w:type="dxa"/>
            <w:vAlign w:val="center"/>
          </w:tcPr>
          <w:p w14:paraId="36EC7398"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CCC</w:t>
            </w:r>
          </w:p>
        </w:tc>
        <w:tc>
          <w:tcPr>
            <w:tcW w:w="6682" w:type="dxa"/>
            <w:vAlign w:val="center"/>
          </w:tcPr>
          <w:p w14:paraId="281B56D3"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Carbon Capture and Compression</w:t>
            </w:r>
          </w:p>
        </w:tc>
      </w:tr>
      <w:tr w:rsidR="001C2E23" w:rsidRPr="001E1FF2" w14:paraId="6270CD13" w14:textId="77777777" w:rsidTr="001C2E23">
        <w:trPr>
          <w:trHeight w:val="360"/>
        </w:trPr>
        <w:tc>
          <w:tcPr>
            <w:tcW w:w="2678" w:type="dxa"/>
            <w:vAlign w:val="center"/>
          </w:tcPr>
          <w:p w14:paraId="6A1A30CC" w14:textId="47A708CF"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CCR</w:t>
            </w:r>
          </w:p>
        </w:tc>
        <w:tc>
          <w:tcPr>
            <w:tcW w:w="6682" w:type="dxa"/>
            <w:vAlign w:val="center"/>
          </w:tcPr>
          <w:p w14:paraId="09CEED43" w14:textId="6E09CCE1"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Coal Combustion Residuals</w:t>
            </w:r>
          </w:p>
        </w:tc>
      </w:tr>
      <w:tr w:rsidR="001C2E23" w:rsidRPr="001E1FF2" w14:paraId="17B6FB53" w14:textId="77777777" w:rsidTr="001C2E23">
        <w:trPr>
          <w:trHeight w:val="360"/>
        </w:trPr>
        <w:tc>
          <w:tcPr>
            <w:tcW w:w="2678" w:type="dxa"/>
            <w:vAlign w:val="center"/>
          </w:tcPr>
          <w:p w14:paraId="1C78326A"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CDH</w:t>
            </w:r>
          </w:p>
        </w:tc>
        <w:tc>
          <w:tcPr>
            <w:tcW w:w="6682" w:type="dxa"/>
            <w:vAlign w:val="center"/>
          </w:tcPr>
          <w:p w14:paraId="4A32BE2F"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Cooling Degree Hours</w:t>
            </w:r>
          </w:p>
        </w:tc>
      </w:tr>
      <w:tr w:rsidR="001C2E23" w:rsidRPr="001E1FF2" w14:paraId="1D6D3E94" w14:textId="77777777" w:rsidTr="001C2E23">
        <w:trPr>
          <w:trHeight w:val="360"/>
        </w:trPr>
        <w:tc>
          <w:tcPr>
            <w:tcW w:w="2678" w:type="dxa"/>
            <w:vAlign w:val="center"/>
          </w:tcPr>
          <w:p w14:paraId="61D4685B"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CFS</w:t>
            </w:r>
          </w:p>
        </w:tc>
        <w:tc>
          <w:tcPr>
            <w:tcW w:w="6682" w:type="dxa"/>
            <w:vAlign w:val="center"/>
          </w:tcPr>
          <w:p w14:paraId="2CB456A8"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Cubic Feet Per Second</w:t>
            </w:r>
          </w:p>
        </w:tc>
      </w:tr>
      <w:tr w:rsidR="001C2E23" w:rsidRPr="001E1FF2" w14:paraId="69E07AEC" w14:textId="77777777" w:rsidTr="001C2E23">
        <w:trPr>
          <w:trHeight w:val="360"/>
        </w:trPr>
        <w:tc>
          <w:tcPr>
            <w:tcW w:w="2678" w:type="dxa"/>
            <w:vAlign w:val="center"/>
          </w:tcPr>
          <w:p w14:paraId="03067B8D"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CHAT</w:t>
            </w:r>
          </w:p>
        </w:tc>
        <w:tc>
          <w:tcPr>
            <w:tcW w:w="6682" w:type="dxa"/>
            <w:vAlign w:val="center"/>
          </w:tcPr>
          <w:p w14:paraId="2ABE8426"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Cascaded Humidified Advanced Turbine</w:t>
            </w:r>
          </w:p>
        </w:tc>
      </w:tr>
      <w:tr w:rsidR="006549F0" w:rsidRPr="001E1FF2" w14:paraId="78A15760" w14:textId="77777777" w:rsidTr="001C2E23">
        <w:trPr>
          <w:trHeight w:val="360"/>
        </w:trPr>
        <w:tc>
          <w:tcPr>
            <w:tcW w:w="2678" w:type="dxa"/>
            <w:vAlign w:val="center"/>
          </w:tcPr>
          <w:p w14:paraId="11B0415F" w14:textId="3E606EDF" w:rsidR="006549F0" w:rsidRPr="001E1FF2" w:rsidRDefault="006549F0"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CO</w:t>
            </w:r>
            <w:r w:rsidRPr="001E1FF2">
              <w:rPr>
                <w:rFonts w:asciiTheme="minorHAnsi" w:hAnsiTheme="minorHAnsi" w:cstheme="minorHAnsi"/>
                <w:b/>
                <w:bCs/>
                <w:color w:val="4D4D4D"/>
                <w:sz w:val="22"/>
                <w:vertAlign w:val="subscript"/>
              </w:rPr>
              <w:t>2</w:t>
            </w:r>
          </w:p>
        </w:tc>
        <w:tc>
          <w:tcPr>
            <w:tcW w:w="6682" w:type="dxa"/>
            <w:vAlign w:val="center"/>
          </w:tcPr>
          <w:p w14:paraId="31C89FA5" w14:textId="5ABF38A3" w:rsidR="006549F0" w:rsidRPr="001E1FF2" w:rsidRDefault="006549F0"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Carbon Dioxide</w:t>
            </w:r>
          </w:p>
        </w:tc>
      </w:tr>
      <w:tr w:rsidR="001C2E23" w:rsidRPr="001E1FF2" w14:paraId="2AF0E17C" w14:textId="77777777" w:rsidTr="001C2E23">
        <w:trPr>
          <w:trHeight w:val="360"/>
        </w:trPr>
        <w:tc>
          <w:tcPr>
            <w:tcW w:w="2678" w:type="dxa"/>
            <w:vAlign w:val="center"/>
          </w:tcPr>
          <w:p w14:paraId="63D8ADC3"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COD</w:t>
            </w:r>
          </w:p>
        </w:tc>
        <w:tc>
          <w:tcPr>
            <w:tcW w:w="6682" w:type="dxa"/>
            <w:vAlign w:val="center"/>
          </w:tcPr>
          <w:p w14:paraId="0A8EFF9D"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Commercial Operation Date</w:t>
            </w:r>
          </w:p>
        </w:tc>
      </w:tr>
      <w:tr w:rsidR="001C2E23" w:rsidRPr="001E1FF2" w14:paraId="3FB5820E" w14:textId="77777777" w:rsidTr="001C2E23">
        <w:trPr>
          <w:trHeight w:val="360"/>
        </w:trPr>
        <w:tc>
          <w:tcPr>
            <w:tcW w:w="2678" w:type="dxa"/>
            <w:vAlign w:val="center"/>
          </w:tcPr>
          <w:p w14:paraId="76071568"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COL</w:t>
            </w:r>
          </w:p>
        </w:tc>
        <w:tc>
          <w:tcPr>
            <w:tcW w:w="6682" w:type="dxa"/>
            <w:vAlign w:val="center"/>
          </w:tcPr>
          <w:p w14:paraId="08CD1BF0"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Combined License</w:t>
            </w:r>
          </w:p>
        </w:tc>
      </w:tr>
      <w:tr w:rsidR="001C2E23" w:rsidRPr="001E1FF2" w14:paraId="0C4682A2" w14:textId="77777777" w:rsidTr="001C2E23">
        <w:trPr>
          <w:trHeight w:val="360"/>
        </w:trPr>
        <w:tc>
          <w:tcPr>
            <w:tcW w:w="2678" w:type="dxa"/>
            <w:vAlign w:val="center"/>
          </w:tcPr>
          <w:p w14:paraId="314B31F2"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Commission</w:t>
            </w:r>
          </w:p>
        </w:tc>
        <w:tc>
          <w:tcPr>
            <w:tcW w:w="6682" w:type="dxa"/>
            <w:vAlign w:val="center"/>
          </w:tcPr>
          <w:p w14:paraId="2CC7E91B"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Georgia Public Service Commission</w:t>
            </w:r>
          </w:p>
        </w:tc>
      </w:tr>
      <w:tr w:rsidR="001C2E23" w:rsidRPr="001E1FF2" w14:paraId="5DCC1B25" w14:textId="77777777" w:rsidTr="001C2E23">
        <w:trPr>
          <w:trHeight w:val="360"/>
        </w:trPr>
        <w:tc>
          <w:tcPr>
            <w:tcW w:w="2678" w:type="dxa"/>
            <w:vAlign w:val="center"/>
          </w:tcPr>
          <w:p w14:paraId="080E41D1"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Company</w:t>
            </w:r>
          </w:p>
        </w:tc>
        <w:tc>
          <w:tcPr>
            <w:tcW w:w="6682" w:type="dxa"/>
            <w:vAlign w:val="center"/>
          </w:tcPr>
          <w:p w14:paraId="25FFB4E9"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Georgia Power Company</w:t>
            </w:r>
          </w:p>
        </w:tc>
      </w:tr>
      <w:tr w:rsidR="001C2E23" w:rsidRPr="001E1FF2" w14:paraId="0DEF2202" w14:textId="77777777" w:rsidTr="001C2E23">
        <w:trPr>
          <w:trHeight w:val="360"/>
        </w:trPr>
        <w:tc>
          <w:tcPr>
            <w:tcW w:w="2678" w:type="dxa"/>
            <w:vAlign w:val="center"/>
          </w:tcPr>
          <w:p w14:paraId="7A3A45BC"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CRA</w:t>
            </w:r>
          </w:p>
        </w:tc>
        <w:tc>
          <w:tcPr>
            <w:tcW w:w="6682" w:type="dxa"/>
            <w:vAlign w:val="center"/>
          </w:tcPr>
          <w:p w14:paraId="289241B2"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Charles River Associates</w:t>
            </w:r>
          </w:p>
        </w:tc>
      </w:tr>
      <w:tr w:rsidR="001C2E23" w:rsidRPr="001E1FF2" w14:paraId="7CF27110" w14:textId="77777777" w:rsidTr="001C2E23">
        <w:trPr>
          <w:trHeight w:val="360"/>
        </w:trPr>
        <w:tc>
          <w:tcPr>
            <w:tcW w:w="2678" w:type="dxa"/>
            <w:vAlign w:val="center"/>
          </w:tcPr>
          <w:p w14:paraId="29F86020"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CRF</w:t>
            </w:r>
          </w:p>
        </w:tc>
        <w:tc>
          <w:tcPr>
            <w:tcW w:w="6682" w:type="dxa"/>
            <w:vAlign w:val="center"/>
          </w:tcPr>
          <w:p w14:paraId="388C6459"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Capital Recovery Factor</w:t>
            </w:r>
          </w:p>
        </w:tc>
      </w:tr>
      <w:tr w:rsidR="001C2E23" w:rsidRPr="001E1FF2" w14:paraId="756F2CB2" w14:textId="77777777" w:rsidTr="001C2E23">
        <w:trPr>
          <w:trHeight w:val="360"/>
        </w:trPr>
        <w:tc>
          <w:tcPr>
            <w:tcW w:w="2678" w:type="dxa"/>
            <w:vAlign w:val="center"/>
          </w:tcPr>
          <w:p w14:paraId="7BE85EA2"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CRSP</w:t>
            </w:r>
          </w:p>
        </w:tc>
        <w:tc>
          <w:tcPr>
            <w:tcW w:w="6682" w:type="dxa"/>
            <w:vAlign w:val="center"/>
          </w:tcPr>
          <w:p w14:paraId="1C835561"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Customer Renewable Supply Procurement</w:t>
            </w:r>
          </w:p>
        </w:tc>
      </w:tr>
      <w:tr w:rsidR="001C2E23" w:rsidRPr="001E1FF2" w14:paraId="16093079" w14:textId="77777777" w:rsidTr="001C2E23">
        <w:trPr>
          <w:trHeight w:val="360"/>
        </w:trPr>
        <w:tc>
          <w:tcPr>
            <w:tcW w:w="2678" w:type="dxa"/>
            <w:vAlign w:val="center"/>
          </w:tcPr>
          <w:p w14:paraId="4512AD4A"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CSE</w:t>
            </w:r>
          </w:p>
        </w:tc>
        <w:tc>
          <w:tcPr>
            <w:tcW w:w="6682" w:type="dxa"/>
            <w:vAlign w:val="center"/>
          </w:tcPr>
          <w:p w14:paraId="788EB6D6"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Cost of Saved Energy</w:t>
            </w:r>
          </w:p>
        </w:tc>
      </w:tr>
      <w:tr w:rsidR="001C2E23" w:rsidRPr="001E1FF2" w14:paraId="41E940AD" w14:textId="77777777" w:rsidTr="001C2E23">
        <w:trPr>
          <w:trHeight w:val="360"/>
        </w:trPr>
        <w:tc>
          <w:tcPr>
            <w:tcW w:w="2678" w:type="dxa"/>
            <w:vAlign w:val="center"/>
          </w:tcPr>
          <w:p w14:paraId="799547D4"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CT</w:t>
            </w:r>
          </w:p>
        </w:tc>
        <w:tc>
          <w:tcPr>
            <w:tcW w:w="6682" w:type="dxa"/>
            <w:vAlign w:val="center"/>
          </w:tcPr>
          <w:p w14:paraId="6EF180DB"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Combustion Turbine</w:t>
            </w:r>
          </w:p>
        </w:tc>
      </w:tr>
      <w:tr w:rsidR="006549F0" w:rsidRPr="001E1FF2" w14:paraId="358D4F47" w14:textId="77777777" w:rsidTr="001C2E23">
        <w:trPr>
          <w:trHeight w:val="360"/>
        </w:trPr>
        <w:tc>
          <w:tcPr>
            <w:tcW w:w="2678" w:type="dxa"/>
            <w:vAlign w:val="center"/>
          </w:tcPr>
          <w:p w14:paraId="7701F377" w14:textId="6361B2D3" w:rsidR="006549F0" w:rsidRPr="001E1FF2" w:rsidRDefault="006549F0"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CYMSA</w:t>
            </w:r>
          </w:p>
        </w:tc>
        <w:tc>
          <w:tcPr>
            <w:tcW w:w="6682" w:type="dxa"/>
            <w:vAlign w:val="center"/>
          </w:tcPr>
          <w:p w14:paraId="20E613AB" w14:textId="5BF36225" w:rsidR="006549F0" w:rsidRPr="001E1FF2" w:rsidRDefault="006549F0"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Cyber-Physical Modeling and Simulation for Situational Awareness</w:t>
            </w:r>
          </w:p>
        </w:tc>
      </w:tr>
      <w:tr w:rsidR="001C2E23" w:rsidRPr="001E1FF2" w14:paraId="6DA42811" w14:textId="77777777" w:rsidTr="001C2E23">
        <w:trPr>
          <w:trHeight w:val="360"/>
        </w:trPr>
        <w:tc>
          <w:tcPr>
            <w:tcW w:w="2678" w:type="dxa"/>
            <w:vAlign w:val="center"/>
          </w:tcPr>
          <w:p w14:paraId="2C631513"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DER</w:t>
            </w:r>
          </w:p>
        </w:tc>
        <w:tc>
          <w:tcPr>
            <w:tcW w:w="6682" w:type="dxa"/>
            <w:vAlign w:val="center"/>
          </w:tcPr>
          <w:p w14:paraId="702C46C7"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Distributed Energy Resource</w:t>
            </w:r>
          </w:p>
        </w:tc>
      </w:tr>
      <w:tr w:rsidR="001C2E23" w:rsidRPr="001E1FF2" w14:paraId="248DDDBE" w14:textId="77777777" w:rsidTr="001C2E23">
        <w:trPr>
          <w:trHeight w:val="360"/>
        </w:trPr>
        <w:tc>
          <w:tcPr>
            <w:tcW w:w="2678" w:type="dxa"/>
            <w:vAlign w:val="center"/>
          </w:tcPr>
          <w:p w14:paraId="4DA2040B"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DERMS</w:t>
            </w:r>
          </w:p>
        </w:tc>
        <w:tc>
          <w:tcPr>
            <w:tcW w:w="6682" w:type="dxa"/>
            <w:vAlign w:val="center"/>
          </w:tcPr>
          <w:p w14:paraId="5B81FB2D"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Distributed Energy Resource Management System</w:t>
            </w:r>
          </w:p>
        </w:tc>
      </w:tr>
      <w:tr w:rsidR="001C2E23" w:rsidRPr="001E1FF2" w14:paraId="1DD9ECB9" w14:textId="77777777" w:rsidTr="001C2E23">
        <w:trPr>
          <w:trHeight w:val="360"/>
        </w:trPr>
        <w:tc>
          <w:tcPr>
            <w:tcW w:w="2678" w:type="dxa"/>
            <w:vAlign w:val="center"/>
          </w:tcPr>
          <w:p w14:paraId="7180872E"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DG</w:t>
            </w:r>
          </w:p>
        </w:tc>
        <w:tc>
          <w:tcPr>
            <w:tcW w:w="6682" w:type="dxa"/>
            <w:vAlign w:val="center"/>
          </w:tcPr>
          <w:p w14:paraId="6ACEE2A6"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Distributed Generation</w:t>
            </w:r>
          </w:p>
        </w:tc>
      </w:tr>
      <w:tr w:rsidR="001C2E23" w:rsidRPr="001E1FF2" w14:paraId="57B774B8" w14:textId="77777777" w:rsidTr="001C2E23">
        <w:trPr>
          <w:trHeight w:val="360"/>
        </w:trPr>
        <w:tc>
          <w:tcPr>
            <w:tcW w:w="2678" w:type="dxa"/>
            <w:vAlign w:val="center"/>
          </w:tcPr>
          <w:p w14:paraId="4C5B36C5"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DOE</w:t>
            </w:r>
          </w:p>
        </w:tc>
        <w:tc>
          <w:tcPr>
            <w:tcW w:w="6682" w:type="dxa"/>
            <w:vAlign w:val="center"/>
          </w:tcPr>
          <w:p w14:paraId="6250FAEE"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Department of Energy</w:t>
            </w:r>
          </w:p>
        </w:tc>
      </w:tr>
      <w:tr w:rsidR="001C2E23" w:rsidRPr="001E1FF2" w14:paraId="40AC456D" w14:textId="77777777" w:rsidTr="001C2E23">
        <w:trPr>
          <w:trHeight w:val="360"/>
        </w:trPr>
        <w:tc>
          <w:tcPr>
            <w:tcW w:w="2678" w:type="dxa"/>
            <w:vAlign w:val="center"/>
          </w:tcPr>
          <w:p w14:paraId="3405A524"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DPEC</w:t>
            </w:r>
          </w:p>
        </w:tc>
        <w:tc>
          <w:tcPr>
            <w:tcW w:w="6682" w:type="dxa"/>
            <w:vAlign w:val="center"/>
          </w:tcPr>
          <w:p w14:paraId="579D17F0"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Demand Plus Energy Credit</w:t>
            </w:r>
          </w:p>
        </w:tc>
      </w:tr>
      <w:tr w:rsidR="006549F0" w:rsidRPr="001E1FF2" w14:paraId="60F40977" w14:textId="77777777" w:rsidTr="001C2E23">
        <w:trPr>
          <w:trHeight w:val="360"/>
        </w:trPr>
        <w:tc>
          <w:tcPr>
            <w:tcW w:w="2678" w:type="dxa"/>
            <w:vAlign w:val="center"/>
          </w:tcPr>
          <w:p w14:paraId="4ED8C0C2" w14:textId="73216C6B" w:rsidR="006549F0" w:rsidRPr="001E1FF2" w:rsidRDefault="006549F0"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Drones</w:t>
            </w:r>
          </w:p>
        </w:tc>
        <w:tc>
          <w:tcPr>
            <w:tcW w:w="6682" w:type="dxa"/>
            <w:vAlign w:val="center"/>
          </w:tcPr>
          <w:p w14:paraId="6C67B0BC" w14:textId="1266D2E4" w:rsidR="006549F0" w:rsidRPr="001E1FF2" w:rsidRDefault="006549F0"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Unmanned aerial systems</w:t>
            </w:r>
          </w:p>
        </w:tc>
      </w:tr>
      <w:tr w:rsidR="001C2E23" w:rsidRPr="001E1FF2" w14:paraId="17C2C47A" w14:textId="77777777" w:rsidTr="001C2E23">
        <w:trPr>
          <w:trHeight w:val="360"/>
        </w:trPr>
        <w:tc>
          <w:tcPr>
            <w:tcW w:w="2678" w:type="dxa"/>
            <w:vAlign w:val="center"/>
          </w:tcPr>
          <w:p w14:paraId="2BF04E60"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DSM</w:t>
            </w:r>
          </w:p>
        </w:tc>
        <w:tc>
          <w:tcPr>
            <w:tcW w:w="6682" w:type="dxa"/>
            <w:vAlign w:val="center"/>
          </w:tcPr>
          <w:p w14:paraId="3CFB824E" w14:textId="293AFF86"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Demand</w:t>
            </w:r>
            <w:r w:rsidR="00B235E4" w:rsidRPr="001E1FF2">
              <w:rPr>
                <w:rFonts w:asciiTheme="minorHAnsi" w:hAnsiTheme="minorHAnsi" w:cstheme="minorHAnsi"/>
                <w:bCs/>
                <w:color w:val="4D4D4D"/>
                <w:sz w:val="22"/>
              </w:rPr>
              <w:t>-</w:t>
            </w:r>
            <w:r w:rsidRPr="001E1FF2">
              <w:rPr>
                <w:rFonts w:asciiTheme="minorHAnsi" w:hAnsiTheme="minorHAnsi" w:cstheme="minorHAnsi"/>
                <w:bCs/>
                <w:color w:val="4D4D4D"/>
                <w:sz w:val="22"/>
              </w:rPr>
              <w:t>Side Management</w:t>
            </w:r>
          </w:p>
        </w:tc>
      </w:tr>
      <w:tr w:rsidR="001C2E23" w:rsidRPr="001E1FF2" w14:paraId="5086794A" w14:textId="77777777" w:rsidTr="001C2E23">
        <w:trPr>
          <w:trHeight w:val="360"/>
        </w:trPr>
        <w:tc>
          <w:tcPr>
            <w:tcW w:w="2678" w:type="dxa"/>
            <w:vAlign w:val="center"/>
          </w:tcPr>
          <w:p w14:paraId="25F84381"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DSMWG</w:t>
            </w:r>
          </w:p>
        </w:tc>
        <w:tc>
          <w:tcPr>
            <w:tcW w:w="6682" w:type="dxa"/>
            <w:vAlign w:val="center"/>
          </w:tcPr>
          <w:p w14:paraId="404274C5" w14:textId="0423997B"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Demand</w:t>
            </w:r>
            <w:r w:rsidR="00B235E4" w:rsidRPr="001E1FF2">
              <w:rPr>
                <w:rFonts w:asciiTheme="minorHAnsi" w:hAnsiTheme="minorHAnsi" w:cstheme="minorHAnsi"/>
                <w:bCs/>
                <w:color w:val="4D4D4D"/>
                <w:sz w:val="22"/>
              </w:rPr>
              <w:t>-</w:t>
            </w:r>
            <w:r w:rsidRPr="001E1FF2">
              <w:rPr>
                <w:rFonts w:asciiTheme="minorHAnsi" w:hAnsiTheme="minorHAnsi" w:cstheme="minorHAnsi"/>
                <w:bCs/>
                <w:color w:val="4D4D4D"/>
                <w:sz w:val="22"/>
              </w:rPr>
              <w:t>Side Management Working Group</w:t>
            </w:r>
          </w:p>
        </w:tc>
      </w:tr>
      <w:tr w:rsidR="007130DF" w:rsidRPr="001E1FF2" w14:paraId="2A05E4A2" w14:textId="77777777" w:rsidTr="001C2E23">
        <w:trPr>
          <w:trHeight w:val="360"/>
        </w:trPr>
        <w:tc>
          <w:tcPr>
            <w:tcW w:w="2678" w:type="dxa"/>
            <w:vAlign w:val="center"/>
          </w:tcPr>
          <w:p w14:paraId="66B4BFBC" w14:textId="332EF1CB" w:rsidR="007130DF" w:rsidRPr="001E1FF2" w:rsidRDefault="007130DF"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DSM Program Planning Approach</w:t>
            </w:r>
          </w:p>
        </w:tc>
        <w:tc>
          <w:tcPr>
            <w:tcW w:w="6682" w:type="dxa"/>
            <w:vAlign w:val="center"/>
          </w:tcPr>
          <w:p w14:paraId="3F2C8562" w14:textId="710CFC9A" w:rsidR="007130DF" w:rsidRPr="001E1FF2" w:rsidRDefault="007130DF"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DSM Planning Process originating from the 2010 IRP</w:t>
            </w:r>
          </w:p>
        </w:tc>
      </w:tr>
      <w:tr w:rsidR="001C2E23" w:rsidRPr="001E1FF2" w14:paraId="70F0C141" w14:textId="77777777" w:rsidTr="001C2E23">
        <w:trPr>
          <w:trHeight w:val="360"/>
        </w:trPr>
        <w:tc>
          <w:tcPr>
            <w:tcW w:w="2678" w:type="dxa"/>
            <w:vAlign w:val="center"/>
          </w:tcPr>
          <w:p w14:paraId="51E7EFE9"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DSO</w:t>
            </w:r>
          </w:p>
        </w:tc>
        <w:tc>
          <w:tcPr>
            <w:tcW w:w="6682" w:type="dxa"/>
            <w:vAlign w:val="center"/>
          </w:tcPr>
          <w:p w14:paraId="49EBAA4A" w14:textId="2E9A6C9B"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Demand-</w:t>
            </w:r>
            <w:r w:rsidR="000F66E6">
              <w:rPr>
                <w:rFonts w:asciiTheme="minorHAnsi" w:hAnsiTheme="minorHAnsi" w:cstheme="minorHAnsi"/>
                <w:bCs/>
                <w:color w:val="4D4D4D"/>
                <w:sz w:val="22"/>
              </w:rPr>
              <w:t>S</w:t>
            </w:r>
            <w:r w:rsidRPr="001E1FF2">
              <w:rPr>
                <w:rFonts w:asciiTheme="minorHAnsi" w:hAnsiTheme="minorHAnsi" w:cstheme="minorHAnsi"/>
                <w:bCs/>
                <w:color w:val="4D4D4D"/>
                <w:sz w:val="22"/>
              </w:rPr>
              <w:t>ide option</w:t>
            </w:r>
          </w:p>
        </w:tc>
      </w:tr>
      <w:tr w:rsidR="001C2E23" w:rsidRPr="001E1FF2" w14:paraId="50616A47" w14:textId="77777777" w:rsidTr="001C2E23">
        <w:trPr>
          <w:trHeight w:val="360"/>
        </w:trPr>
        <w:tc>
          <w:tcPr>
            <w:tcW w:w="2678" w:type="dxa"/>
            <w:vAlign w:val="center"/>
          </w:tcPr>
          <w:p w14:paraId="3E41DC52"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ECCR</w:t>
            </w:r>
          </w:p>
        </w:tc>
        <w:tc>
          <w:tcPr>
            <w:tcW w:w="6682" w:type="dxa"/>
            <w:vAlign w:val="center"/>
          </w:tcPr>
          <w:p w14:paraId="7FADFA1F"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Environmental Compliance Cost Recovery</w:t>
            </w:r>
          </w:p>
        </w:tc>
      </w:tr>
      <w:tr w:rsidR="001C2E23" w:rsidRPr="001E1FF2" w14:paraId="424DCF21" w14:textId="77777777" w:rsidTr="001C2E23">
        <w:trPr>
          <w:trHeight w:val="360"/>
        </w:trPr>
        <w:tc>
          <w:tcPr>
            <w:tcW w:w="2678" w:type="dxa"/>
            <w:vAlign w:val="center"/>
          </w:tcPr>
          <w:p w14:paraId="4436F8BD"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ECS</w:t>
            </w:r>
          </w:p>
        </w:tc>
        <w:tc>
          <w:tcPr>
            <w:tcW w:w="6682" w:type="dxa"/>
            <w:vAlign w:val="center"/>
          </w:tcPr>
          <w:p w14:paraId="0BF1476D"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Environmental Compliance Strategy</w:t>
            </w:r>
          </w:p>
        </w:tc>
      </w:tr>
      <w:tr w:rsidR="007130DF" w:rsidRPr="001E1FF2" w14:paraId="1404F586" w14:textId="77777777" w:rsidTr="001C2E23">
        <w:trPr>
          <w:trHeight w:val="360"/>
        </w:trPr>
        <w:tc>
          <w:tcPr>
            <w:tcW w:w="2678" w:type="dxa"/>
            <w:vAlign w:val="center"/>
          </w:tcPr>
          <w:p w14:paraId="6D1C9366" w14:textId="7F6555B8" w:rsidR="007130DF" w:rsidRPr="001E1FF2" w:rsidRDefault="007130DF"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EL</w:t>
            </w:r>
          </w:p>
        </w:tc>
        <w:tc>
          <w:tcPr>
            <w:tcW w:w="6682" w:type="dxa"/>
            <w:vAlign w:val="center"/>
          </w:tcPr>
          <w:p w14:paraId="7C4F949B" w14:textId="3F9B1FD1" w:rsidR="007130DF" w:rsidRPr="001E1FF2" w:rsidRDefault="007130DF"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Electroluminescence</w:t>
            </w:r>
          </w:p>
        </w:tc>
      </w:tr>
      <w:tr w:rsidR="001C2E23" w:rsidRPr="001E1FF2" w14:paraId="7841A3E7" w14:textId="77777777" w:rsidTr="001C2E23">
        <w:trPr>
          <w:trHeight w:val="360"/>
        </w:trPr>
        <w:tc>
          <w:tcPr>
            <w:tcW w:w="2678" w:type="dxa"/>
            <w:vAlign w:val="center"/>
          </w:tcPr>
          <w:p w14:paraId="309A90DB" w14:textId="0905D239"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ELG</w:t>
            </w:r>
          </w:p>
        </w:tc>
        <w:tc>
          <w:tcPr>
            <w:tcW w:w="6682" w:type="dxa"/>
            <w:vAlign w:val="center"/>
          </w:tcPr>
          <w:p w14:paraId="34B3FEC5" w14:textId="3F5E7933"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Effluent Limitations Guidelines</w:t>
            </w:r>
          </w:p>
        </w:tc>
      </w:tr>
      <w:tr w:rsidR="001C2E23" w:rsidRPr="001E1FF2" w14:paraId="6B763251" w14:textId="77777777" w:rsidTr="001C2E23">
        <w:trPr>
          <w:trHeight w:val="360"/>
        </w:trPr>
        <w:tc>
          <w:tcPr>
            <w:tcW w:w="2678" w:type="dxa"/>
            <w:vAlign w:val="center"/>
          </w:tcPr>
          <w:p w14:paraId="0939DB0B"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EnerSim</w:t>
            </w:r>
          </w:p>
        </w:tc>
        <w:tc>
          <w:tcPr>
            <w:tcW w:w="6682" w:type="dxa"/>
            <w:vAlign w:val="center"/>
          </w:tcPr>
          <w:p w14:paraId="0B94EDDF" w14:textId="674B5354" w:rsidR="001C2E23" w:rsidRPr="001E1FF2" w:rsidRDefault="00234F4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 xml:space="preserve">See model description in </w:t>
            </w:r>
            <w:r w:rsidRPr="001E1FF2">
              <w:rPr>
                <w:rFonts w:asciiTheme="minorHAnsi" w:hAnsiTheme="minorHAnsi" w:cstheme="minorHAnsi"/>
                <w:bCs/>
                <w:color w:val="4D4D4D"/>
              </w:rPr>
              <w:fldChar w:fldCharType="begin"/>
            </w:r>
            <w:r w:rsidRPr="001E1FF2">
              <w:rPr>
                <w:rFonts w:asciiTheme="minorHAnsi" w:hAnsiTheme="minorHAnsi" w:cstheme="minorHAnsi"/>
                <w:bCs/>
                <w:color w:val="4D4D4D"/>
                <w:sz w:val="22"/>
              </w:rPr>
              <w:instrText xml:space="preserve"> REF _Ref533152626 \n \h </w:instrText>
            </w:r>
            <w:r w:rsidR="001718F7" w:rsidRPr="001E1FF2">
              <w:rPr>
                <w:rFonts w:asciiTheme="minorHAnsi" w:hAnsiTheme="minorHAnsi" w:cstheme="minorHAnsi"/>
                <w:bCs/>
                <w:color w:val="4D4D4D"/>
                <w:sz w:val="22"/>
              </w:rPr>
              <w:instrText xml:space="preserve"> \* MERGEFORMAT </w:instrText>
            </w:r>
            <w:r w:rsidRPr="001E1FF2">
              <w:rPr>
                <w:rFonts w:asciiTheme="minorHAnsi" w:hAnsiTheme="minorHAnsi" w:cstheme="minorHAnsi"/>
                <w:bCs/>
                <w:color w:val="4D4D4D"/>
              </w:rPr>
            </w:r>
            <w:r w:rsidRPr="001E1FF2">
              <w:rPr>
                <w:rFonts w:asciiTheme="minorHAnsi" w:hAnsiTheme="minorHAnsi" w:cstheme="minorHAnsi"/>
                <w:bCs/>
                <w:color w:val="4D4D4D"/>
              </w:rPr>
              <w:fldChar w:fldCharType="separate"/>
            </w:r>
            <w:r w:rsidR="00F33DA2">
              <w:rPr>
                <w:rFonts w:asciiTheme="minorHAnsi" w:hAnsiTheme="minorHAnsi" w:cstheme="minorHAnsi"/>
                <w:bCs/>
                <w:color w:val="4D4D4D"/>
                <w:sz w:val="22"/>
              </w:rPr>
              <w:t>ATTACHMENT A</w:t>
            </w:r>
            <w:r w:rsidRPr="001E1FF2">
              <w:rPr>
                <w:rFonts w:asciiTheme="minorHAnsi" w:hAnsiTheme="minorHAnsi" w:cstheme="minorHAnsi"/>
                <w:bCs/>
                <w:color w:val="4D4D4D"/>
              </w:rPr>
              <w:fldChar w:fldCharType="end"/>
            </w:r>
          </w:p>
        </w:tc>
      </w:tr>
      <w:tr w:rsidR="00322CA3" w:rsidRPr="001E1FF2" w14:paraId="0C384899" w14:textId="77777777" w:rsidTr="001C2E23">
        <w:trPr>
          <w:trHeight w:val="360"/>
        </w:trPr>
        <w:tc>
          <w:tcPr>
            <w:tcW w:w="2678" w:type="dxa"/>
            <w:vAlign w:val="center"/>
          </w:tcPr>
          <w:p w14:paraId="28A7A799" w14:textId="47DB889E" w:rsidR="00322CA3" w:rsidRPr="001E1FF2" w:rsidRDefault="00322CA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ENGO</w:t>
            </w:r>
          </w:p>
        </w:tc>
        <w:tc>
          <w:tcPr>
            <w:tcW w:w="6682" w:type="dxa"/>
            <w:vAlign w:val="center"/>
          </w:tcPr>
          <w:p w14:paraId="42D54EAE" w14:textId="3AB0C5B6" w:rsidR="00322CA3" w:rsidRPr="001E1FF2" w:rsidRDefault="00322CA3"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Edge-of-Network Gird Optimization</w:t>
            </w:r>
          </w:p>
        </w:tc>
      </w:tr>
      <w:tr w:rsidR="001C2E23" w:rsidRPr="001E1FF2" w14:paraId="7F4E3AEB" w14:textId="77777777" w:rsidTr="001C2E23">
        <w:trPr>
          <w:trHeight w:val="360"/>
        </w:trPr>
        <w:tc>
          <w:tcPr>
            <w:tcW w:w="2678" w:type="dxa"/>
            <w:vAlign w:val="center"/>
          </w:tcPr>
          <w:p w14:paraId="30753102"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EPA</w:t>
            </w:r>
          </w:p>
        </w:tc>
        <w:tc>
          <w:tcPr>
            <w:tcW w:w="6682" w:type="dxa"/>
            <w:vAlign w:val="center"/>
          </w:tcPr>
          <w:p w14:paraId="1AE5DCA4" w14:textId="2B2E22F4"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Environmental Protection Agency</w:t>
            </w:r>
          </w:p>
        </w:tc>
      </w:tr>
      <w:tr w:rsidR="001C2E23" w:rsidRPr="001E1FF2" w14:paraId="0170F01D" w14:textId="77777777" w:rsidTr="001C2E23">
        <w:trPr>
          <w:trHeight w:val="360"/>
        </w:trPr>
        <w:tc>
          <w:tcPr>
            <w:tcW w:w="2678" w:type="dxa"/>
            <w:vAlign w:val="center"/>
          </w:tcPr>
          <w:p w14:paraId="7737442D"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EPD</w:t>
            </w:r>
          </w:p>
        </w:tc>
        <w:tc>
          <w:tcPr>
            <w:tcW w:w="6682" w:type="dxa"/>
            <w:vAlign w:val="center"/>
          </w:tcPr>
          <w:p w14:paraId="1E3F6777"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Environmental Protection Division</w:t>
            </w:r>
          </w:p>
        </w:tc>
      </w:tr>
      <w:tr w:rsidR="001C2E23" w:rsidRPr="001E1FF2" w14:paraId="57A767DE" w14:textId="77777777" w:rsidTr="001C2E23">
        <w:trPr>
          <w:trHeight w:val="360"/>
        </w:trPr>
        <w:tc>
          <w:tcPr>
            <w:tcW w:w="2678" w:type="dxa"/>
            <w:vAlign w:val="center"/>
          </w:tcPr>
          <w:p w14:paraId="64B83EA2"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EPR</w:t>
            </w:r>
          </w:p>
        </w:tc>
        <w:tc>
          <w:tcPr>
            <w:tcW w:w="6682" w:type="dxa"/>
            <w:vAlign w:val="center"/>
          </w:tcPr>
          <w:p w14:paraId="0B47AC3D"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European Pressurized Water Reactor</w:t>
            </w:r>
          </w:p>
        </w:tc>
      </w:tr>
      <w:tr w:rsidR="00322CA3" w:rsidRPr="001E1FF2" w14:paraId="38E50451" w14:textId="77777777" w:rsidTr="001C2E23">
        <w:trPr>
          <w:trHeight w:val="360"/>
        </w:trPr>
        <w:tc>
          <w:tcPr>
            <w:tcW w:w="2678" w:type="dxa"/>
            <w:vAlign w:val="center"/>
          </w:tcPr>
          <w:p w14:paraId="22980E5A" w14:textId="12B1FD99" w:rsidR="00322CA3" w:rsidRPr="001E1FF2" w:rsidRDefault="00322CA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EPRI</w:t>
            </w:r>
          </w:p>
        </w:tc>
        <w:tc>
          <w:tcPr>
            <w:tcW w:w="6682" w:type="dxa"/>
            <w:vAlign w:val="center"/>
          </w:tcPr>
          <w:p w14:paraId="3E6B63EB" w14:textId="2A60A0E4" w:rsidR="00322CA3" w:rsidRPr="001E1FF2" w:rsidRDefault="00322CA3"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Electric Power Research Institute</w:t>
            </w:r>
          </w:p>
        </w:tc>
      </w:tr>
      <w:tr w:rsidR="001C2E23" w:rsidRPr="001E1FF2" w14:paraId="539ECC88" w14:textId="77777777" w:rsidTr="001C2E23">
        <w:trPr>
          <w:trHeight w:val="360"/>
        </w:trPr>
        <w:tc>
          <w:tcPr>
            <w:tcW w:w="2678" w:type="dxa"/>
            <w:vAlign w:val="center"/>
          </w:tcPr>
          <w:p w14:paraId="4C4882F8"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ESBWR</w:t>
            </w:r>
          </w:p>
        </w:tc>
        <w:tc>
          <w:tcPr>
            <w:tcW w:w="6682" w:type="dxa"/>
            <w:vAlign w:val="center"/>
          </w:tcPr>
          <w:p w14:paraId="14D53D56"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Economic Simplified Boiling Water Reactor</w:t>
            </w:r>
          </w:p>
        </w:tc>
      </w:tr>
      <w:tr w:rsidR="00322CA3" w:rsidRPr="001E1FF2" w14:paraId="0E9C6922" w14:textId="77777777" w:rsidTr="001C2E23">
        <w:trPr>
          <w:trHeight w:val="360"/>
        </w:trPr>
        <w:tc>
          <w:tcPr>
            <w:tcW w:w="2678" w:type="dxa"/>
            <w:vAlign w:val="center"/>
          </w:tcPr>
          <w:p w14:paraId="6D9C7C8A" w14:textId="2E3976B1" w:rsidR="00322CA3" w:rsidRPr="001E1FF2" w:rsidRDefault="00322CA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ESRC</w:t>
            </w:r>
          </w:p>
        </w:tc>
        <w:tc>
          <w:tcPr>
            <w:tcW w:w="6682" w:type="dxa"/>
            <w:vAlign w:val="center"/>
          </w:tcPr>
          <w:p w14:paraId="2762A68E" w14:textId="25DF7379" w:rsidR="00322CA3" w:rsidRPr="001E1FF2" w:rsidRDefault="00322CA3"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Energy Storage Research Center</w:t>
            </w:r>
          </w:p>
        </w:tc>
      </w:tr>
      <w:tr w:rsidR="001C2E23" w:rsidRPr="001E1FF2" w14:paraId="56B04CDE" w14:textId="77777777" w:rsidTr="001C2E23">
        <w:trPr>
          <w:trHeight w:val="360"/>
        </w:trPr>
        <w:tc>
          <w:tcPr>
            <w:tcW w:w="2678" w:type="dxa"/>
            <w:vAlign w:val="center"/>
          </w:tcPr>
          <w:p w14:paraId="0E195167"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 xml:space="preserve">EUE </w:t>
            </w:r>
          </w:p>
        </w:tc>
        <w:tc>
          <w:tcPr>
            <w:tcW w:w="6682" w:type="dxa"/>
            <w:vAlign w:val="center"/>
          </w:tcPr>
          <w:p w14:paraId="7C54A7A5"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Expected Unserved Energy</w:t>
            </w:r>
          </w:p>
        </w:tc>
      </w:tr>
      <w:tr w:rsidR="00322CA3" w:rsidRPr="001E1FF2" w14:paraId="1558A1CB" w14:textId="77777777" w:rsidTr="001C2E23">
        <w:trPr>
          <w:trHeight w:val="360"/>
        </w:trPr>
        <w:tc>
          <w:tcPr>
            <w:tcW w:w="2678" w:type="dxa"/>
            <w:vAlign w:val="center"/>
          </w:tcPr>
          <w:p w14:paraId="33B95997" w14:textId="3006B14E" w:rsidR="00322CA3" w:rsidRPr="001E1FF2" w:rsidRDefault="00322CA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EV</w:t>
            </w:r>
          </w:p>
        </w:tc>
        <w:tc>
          <w:tcPr>
            <w:tcW w:w="6682" w:type="dxa"/>
            <w:vAlign w:val="center"/>
          </w:tcPr>
          <w:p w14:paraId="68AECF6E" w14:textId="1F5247D6" w:rsidR="00322CA3" w:rsidRPr="001E1FF2" w:rsidRDefault="00322CA3"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Electric Vehicle</w:t>
            </w:r>
          </w:p>
        </w:tc>
      </w:tr>
      <w:tr w:rsidR="001C2E23" w:rsidRPr="001E1FF2" w14:paraId="31D40585" w14:textId="77777777" w:rsidTr="001C2E23">
        <w:trPr>
          <w:trHeight w:val="360"/>
        </w:trPr>
        <w:tc>
          <w:tcPr>
            <w:tcW w:w="2678" w:type="dxa"/>
            <w:vAlign w:val="center"/>
          </w:tcPr>
          <w:p w14:paraId="4481B817"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FCCC</w:t>
            </w:r>
          </w:p>
        </w:tc>
        <w:tc>
          <w:tcPr>
            <w:tcW w:w="6682" w:type="dxa"/>
            <w:vAlign w:val="center"/>
          </w:tcPr>
          <w:p w14:paraId="3F802339"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Fuel Cell Combined Cycle</w:t>
            </w:r>
          </w:p>
        </w:tc>
      </w:tr>
      <w:tr w:rsidR="001C2E23" w:rsidRPr="001E1FF2" w14:paraId="7F9709B8" w14:textId="77777777" w:rsidTr="001C2E23">
        <w:trPr>
          <w:trHeight w:val="360"/>
        </w:trPr>
        <w:tc>
          <w:tcPr>
            <w:tcW w:w="2678" w:type="dxa"/>
            <w:vAlign w:val="center"/>
          </w:tcPr>
          <w:p w14:paraId="2DE4818E"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FERC</w:t>
            </w:r>
          </w:p>
        </w:tc>
        <w:tc>
          <w:tcPr>
            <w:tcW w:w="6682" w:type="dxa"/>
            <w:vAlign w:val="center"/>
          </w:tcPr>
          <w:p w14:paraId="324AEDF1"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Federal Energy Regulatory Commission</w:t>
            </w:r>
          </w:p>
        </w:tc>
      </w:tr>
      <w:tr w:rsidR="001C2E23" w:rsidRPr="001E1FF2" w14:paraId="65D5AB60" w14:textId="77777777" w:rsidTr="001C2E23">
        <w:trPr>
          <w:trHeight w:val="360"/>
        </w:trPr>
        <w:tc>
          <w:tcPr>
            <w:tcW w:w="2678" w:type="dxa"/>
            <w:vAlign w:val="center"/>
          </w:tcPr>
          <w:p w14:paraId="605CC982"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GDP</w:t>
            </w:r>
          </w:p>
        </w:tc>
        <w:tc>
          <w:tcPr>
            <w:tcW w:w="6682" w:type="dxa"/>
            <w:vAlign w:val="center"/>
          </w:tcPr>
          <w:p w14:paraId="62AB6F32" w14:textId="57538206"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Gross Domestic Product</w:t>
            </w:r>
          </w:p>
        </w:tc>
      </w:tr>
      <w:tr w:rsidR="001C2E23" w:rsidRPr="001E1FF2" w14:paraId="4F42EBA2" w14:textId="77777777" w:rsidTr="001C2E23">
        <w:trPr>
          <w:trHeight w:val="360"/>
        </w:trPr>
        <w:tc>
          <w:tcPr>
            <w:tcW w:w="2678" w:type="dxa"/>
            <w:vAlign w:val="center"/>
          </w:tcPr>
          <w:p w14:paraId="511C7663"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GDOT</w:t>
            </w:r>
          </w:p>
        </w:tc>
        <w:tc>
          <w:tcPr>
            <w:tcW w:w="6682" w:type="dxa"/>
            <w:vAlign w:val="center"/>
          </w:tcPr>
          <w:p w14:paraId="4BF69F1D"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Georgia Department of Transportation</w:t>
            </w:r>
          </w:p>
        </w:tc>
      </w:tr>
      <w:tr w:rsidR="00365339" w:rsidRPr="001E1FF2" w14:paraId="44177663" w14:textId="77777777" w:rsidTr="001C2E23">
        <w:trPr>
          <w:trHeight w:val="360"/>
        </w:trPr>
        <w:tc>
          <w:tcPr>
            <w:tcW w:w="2678" w:type="dxa"/>
            <w:vAlign w:val="center"/>
          </w:tcPr>
          <w:p w14:paraId="4C6C3EBD" w14:textId="602E86FE"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GE</w:t>
            </w:r>
          </w:p>
        </w:tc>
        <w:tc>
          <w:tcPr>
            <w:tcW w:w="6682" w:type="dxa"/>
            <w:vAlign w:val="center"/>
          </w:tcPr>
          <w:p w14:paraId="6FAFBDF6" w14:textId="155A2E48" w:rsidR="00365339" w:rsidRPr="001E1FF2" w:rsidRDefault="0036533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General Electric</w:t>
            </w:r>
          </w:p>
        </w:tc>
      </w:tr>
      <w:tr w:rsidR="007F3CF6" w:rsidRPr="001E1FF2" w14:paraId="6AB0FCF8" w14:textId="77777777" w:rsidTr="001C2E23">
        <w:trPr>
          <w:trHeight w:val="360"/>
        </w:trPr>
        <w:tc>
          <w:tcPr>
            <w:tcW w:w="2678" w:type="dxa"/>
            <w:vAlign w:val="center"/>
          </w:tcPr>
          <w:p w14:paraId="6058A0B7" w14:textId="28BE3DAF" w:rsidR="007F3CF6" w:rsidRPr="001E1FF2" w:rsidRDefault="007F3CF6"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GenVal</w:t>
            </w:r>
          </w:p>
        </w:tc>
        <w:tc>
          <w:tcPr>
            <w:tcW w:w="6682" w:type="dxa"/>
            <w:vAlign w:val="center"/>
          </w:tcPr>
          <w:p w14:paraId="431A8018" w14:textId="6162A1B0" w:rsidR="007F3CF6" w:rsidRPr="001E1FF2" w:rsidRDefault="00234F4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 xml:space="preserve">See model description in </w:t>
            </w:r>
            <w:r w:rsidRPr="001E1FF2">
              <w:rPr>
                <w:rFonts w:asciiTheme="minorHAnsi" w:hAnsiTheme="minorHAnsi" w:cstheme="minorHAnsi"/>
                <w:bCs/>
                <w:color w:val="4D4D4D"/>
              </w:rPr>
              <w:fldChar w:fldCharType="begin"/>
            </w:r>
            <w:r w:rsidRPr="001E1FF2">
              <w:rPr>
                <w:rFonts w:asciiTheme="minorHAnsi" w:hAnsiTheme="minorHAnsi" w:cstheme="minorHAnsi"/>
                <w:bCs/>
                <w:color w:val="4D4D4D"/>
                <w:sz w:val="22"/>
              </w:rPr>
              <w:instrText xml:space="preserve"> REF _Ref533152626 \n \h </w:instrText>
            </w:r>
            <w:r w:rsidR="001718F7" w:rsidRPr="001E1FF2">
              <w:rPr>
                <w:rFonts w:asciiTheme="minorHAnsi" w:hAnsiTheme="minorHAnsi" w:cstheme="minorHAnsi"/>
                <w:bCs/>
                <w:color w:val="4D4D4D"/>
                <w:sz w:val="22"/>
              </w:rPr>
              <w:instrText xml:space="preserve"> \* MERGEFORMAT </w:instrText>
            </w:r>
            <w:r w:rsidRPr="001E1FF2">
              <w:rPr>
                <w:rFonts w:asciiTheme="minorHAnsi" w:hAnsiTheme="minorHAnsi" w:cstheme="minorHAnsi"/>
                <w:bCs/>
                <w:color w:val="4D4D4D"/>
              </w:rPr>
            </w:r>
            <w:r w:rsidRPr="001E1FF2">
              <w:rPr>
                <w:rFonts w:asciiTheme="minorHAnsi" w:hAnsiTheme="minorHAnsi" w:cstheme="minorHAnsi"/>
                <w:bCs/>
                <w:color w:val="4D4D4D"/>
              </w:rPr>
              <w:fldChar w:fldCharType="separate"/>
            </w:r>
            <w:r w:rsidR="00F33DA2">
              <w:rPr>
                <w:rFonts w:asciiTheme="minorHAnsi" w:hAnsiTheme="minorHAnsi" w:cstheme="minorHAnsi"/>
                <w:bCs/>
                <w:color w:val="4D4D4D"/>
                <w:sz w:val="22"/>
              </w:rPr>
              <w:t>ATTACHMENT A</w:t>
            </w:r>
            <w:r w:rsidRPr="001E1FF2">
              <w:rPr>
                <w:rFonts w:asciiTheme="minorHAnsi" w:hAnsiTheme="minorHAnsi" w:cstheme="minorHAnsi"/>
                <w:bCs/>
                <w:color w:val="4D4D4D"/>
              </w:rPr>
              <w:fldChar w:fldCharType="end"/>
            </w:r>
          </w:p>
        </w:tc>
      </w:tr>
      <w:tr w:rsidR="001C2E23" w:rsidRPr="001E1FF2" w14:paraId="438E4C1E" w14:textId="77777777" w:rsidTr="001C2E23">
        <w:trPr>
          <w:trHeight w:val="360"/>
        </w:trPr>
        <w:tc>
          <w:tcPr>
            <w:tcW w:w="2678" w:type="dxa"/>
            <w:vAlign w:val="center"/>
          </w:tcPr>
          <w:p w14:paraId="5556865C"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Georgia Power</w:t>
            </w:r>
          </w:p>
        </w:tc>
        <w:tc>
          <w:tcPr>
            <w:tcW w:w="6682" w:type="dxa"/>
            <w:vAlign w:val="center"/>
          </w:tcPr>
          <w:p w14:paraId="736D4F76"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Georgia Power Company</w:t>
            </w:r>
          </w:p>
        </w:tc>
      </w:tr>
      <w:tr w:rsidR="00772218" w:rsidRPr="001E1FF2" w14:paraId="2C2C5CEA" w14:textId="77777777" w:rsidTr="001C2E23">
        <w:trPr>
          <w:trHeight w:val="360"/>
        </w:trPr>
        <w:tc>
          <w:tcPr>
            <w:tcW w:w="2678" w:type="dxa"/>
            <w:vAlign w:val="center"/>
          </w:tcPr>
          <w:p w14:paraId="6C97333D" w14:textId="407CB814" w:rsidR="00772218" w:rsidRPr="001E1FF2" w:rsidRDefault="0077221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Georgia Tech</w:t>
            </w:r>
          </w:p>
        </w:tc>
        <w:tc>
          <w:tcPr>
            <w:tcW w:w="6682" w:type="dxa"/>
            <w:vAlign w:val="center"/>
          </w:tcPr>
          <w:p w14:paraId="7F95AD75" w14:textId="5F74B4A9" w:rsidR="00772218" w:rsidRPr="001E1FF2" w:rsidRDefault="0077221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Georgia Institute of Technology</w:t>
            </w:r>
          </w:p>
        </w:tc>
      </w:tr>
      <w:tr w:rsidR="003D5FED" w:rsidRPr="001E1FF2" w14:paraId="630E4E69" w14:textId="77777777" w:rsidTr="001C2E23">
        <w:trPr>
          <w:trHeight w:val="360"/>
        </w:trPr>
        <w:tc>
          <w:tcPr>
            <w:tcW w:w="2678" w:type="dxa"/>
            <w:vAlign w:val="center"/>
          </w:tcPr>
          <w:p w14:paraId="6CE78D3D" w14:textId="088605C3" w:rsidR="003D5FED" w:rsidRPr="001E1FF2" w:rsidRDefault="003D5FED"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GIC</w:t>
            </w:r>
          </w:p>
        </w:tc>
        <w:tc>
          <w:tcPr>
            <w:tcW w:w="6682" w:type="dxa"/>
            <w:vAlign w:val="center"/>
          </w:tcPr>
          <w:p w14:paraId="0A225B1E" w14:textId="06595CD3" w:rsidR="003D5FED" w:rsidRPr="001E1FF2" w:rsidRDefault="003D5FED"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Geomagnetically Induced Current</w:t>
            </w:r>
          </w:p>
        </w:tc>
      </w:tr>
      <w:tr w:rsidR="003D5FED" w:rsidRPr="001E1FF2" w14:paraId="3C7B58D0" w14:textId="77777777" w:rsidTr="001C2E23">
        <w:trPr>
          <w:trHeight w:val="360"/>
        </w:trPr>
        <w:tc>
          <w:tcPr>
            <w:tcW w:w="2678" w:type="dxa"/>
            <w:vAlign w:val="center"/>
          </w:tcPr>
          <w:p w14:paraId="659453E7" w14:textId="2E086636" w:rsidR="003D5FED" w:rsidRPr="001E1FF2" w:rsidRDefault="003D5FED"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GMD</w:t>
            </w:r>
          </w:p>
        </w:tc>
        <w:tc>
          <w:tcPr>
            <w:tcW w:w="6682" w:type="dxa"/>
            <w:vAlign w:val="center"/>
          </w:tcPr>
          <w:p w14:paraId="0663C4A3" w14:textId="2F83CB69" w:rsidR="003D5FED" w:rsidRPr="001E1FF2" w:rsidRDefault="003D5FED"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Geomagnetic Disturbance</w:t>
            </w:r>
          </w:p>
        </w:tc>
      </w:tr>
      <w:tr w:rsidR="001C2E23" w:rsidRPr="001E1FF2" w14:paraId="279E3E53" w14:textId="77777777" w:rsidTr="001C2E23">
        <w:trPr>
          <w:trHeight w:val="360"/>
        </w:trPr>
        <w:tc>
          <w:tcPr>
            <w:tcW w:w="2678" w:type="dxa"/>
            <w:vAlign w:val="center"/>
          </w:tcPr>
          <w:p w14:paraId="450AE441"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GTDB</w:t>
            </w:r>
          </w:p>
        </w:tc>
        <w:tc>
          <w:tcPr>
            <w:tcW w:w="6682" w:type="dxa"/>
            <w:vAlign w:val="center"/>
          </w:tcPr>
          <w:p w14:paraId="4DE364C8" w14:textId="77777777" w:rsidR="001C2E23" w:rsidRPr="00BA41C3" w:rsidRDefault="001C2E23"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Generation Technology Data Book</w:t>
            </w:r>
          </w:p>
        </w:tc>
      </w:tr>
      <w:tr w:rsidR="00BA41C3" w:rsidRPr="001E1FF2" w14:paraId="579672CF" w14:textId="77777777" w:rsidTr="001C2E23">
        <w:trPr>
          <w:trHeight w:val="360"/>
        </w:trPr>
        <w:tc>
          <w:tcPr>
            <w:tcW w:w="2678" w:type="dxa"/>
            <w:vAlign w:val="center"/>
          </w:tcPr>
          <w:p w14:paraId="4A8E8822" w14:textId="46F9056D" w:rsidR="00BA41C3" w:rsidRPr="00BA41C3" w:rsidRDefault="00BA41C3" w:rsidP="001E1FF2">
            <w:pPr>
              <w:spacing w:after="0" w:line="240" w:lineRule="auto"/>
              <w:jc w:val="left"/>
              <w:rPr>
                <w:rFonts w:asciiTheme="minorHAnsi" w:hAnsiTheme="minorHAnsi" w:cstheme="minorHAnsi"/>
                <w:b/>
                <w:bCs/>
                <w:color w:val="4D4D4D"/>
                <w:sz w:val="22"/>
              </w:rPr>
            </w:pPr>
            <w:r w:rsidRPr="00BA41C3">
              <w:rPr>
                <w:rFonts w:asciiTheme="minorHAnsi" w:hAnsiTheme="minorHAnsi" w:cstheme="minorHAnsi"/>
                <w:b/>
                <w:bCs/>
                <w:color w:val="4D4D4D"/>
                <w:sz w:val="22"/>
              </w:rPr>
              <w:t>GTC</w:t>
            </w:r>
          </w:p>
        </w:tc>
        <w:tc>
          <w:tcPr>
            <w:tcW w:w="6682" w:type="dxa"/>
            <w:vAlign w:val="center"/>
          </w:tcPr>
          <w:p w14:paraId="59095F36" w14:textId="5907B642" w:rsidR="00BA41C3" w:rsidRPr="00BA41C3" w:rsidRDefault="00BA41C3" w:rsidP="001E1FF2">
            <w:pPr>
              <w:spacing w:after="0" w:line="240" w:lineRule="auto"/>
              <w:jc w:val="left"/>
              <w:rPr>
                <w:rFonts w:asciiTheme="minorHAnsi" w:hAnsiTheme="minorHAnsi" w:cstheme="minorHAnsi"/>
                <w:bCs/>
                <w:color w:val="4D4D4D"/>
                <w:sz w:val="22"/>
              </w:rPr>
            </w:pPr>
            <w:r w:rsidRPr="00BA41C3">
              <w:rPr>
                <w:rFonts w:asciiTheme="minorHAnsi" w:hAnsiTheme="minorHAnsi" w:cstheme="minorHAnsi"/>
                <w:bCs/>
                <w:color w:val="4D4D4D"/>
                <w:sz w:val="22"/>
              </w:rPr>
              <w:t>Georgia Transmission Corporation</w:t>
            </w:r>
          </w:p>
        </w:tc>
      </w:tr>
      <w:tr w:rsidR="00772218" w:rsidRPr="001E1FF2" w14:paraId="178FA20E" w14:textId="77777777" w:rsidTr="001C2E23">
        <w:trPr>
          <w:trHeight w:val="360"/>
        </w:trPr>
        <w:tc>
          <w:tcPr>
            <w:tcW w:w="2678" w:type="dxa"/>
            <w:vAlign w:val="center"/>
          </w:tcPr>
          <w:p w14:paraId="3D599F23" w14:textId="1DB2DB02" w:rsidR="00772218" w:rsidRPr="001E1FF2" w:rsidRDefault="0077221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Gulf Power</w:t>
            </w:r>
          </w:p>
        </w:tc>
        <w:tc>
          <w:tcPr>
            <w:tcW w:w="6682" w:type="dxa"/>
            <w:vAlign w:val="center"/>
          </w:tcPr>
          <w:p w14:paraId="323ADF27" w14:textId="13772FDA" w:rsidR="00772218" w:rsidRPr="001E1FF2" w:rsidRDefault="0077221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Gulf Power Company</w:t>
            </w:r>
          </w:p>
        </w:tc>
      </w:tr>
      <w:tr w:rsidR="001C2E23" w:rsidRPr="001E1FF2" w14:paraId="71CFD4A2" w14:textId="77777777" w:rsidTr="001C2E23">
        <w:trPr>
          <w:trHeight w:val="360"/>
        </w:trPr>
        <w:tc>
          <w:tcPr>
            <w:tcW w:w="2678" w:type="dxa"/>
            <w:vAlign w:val="center"/>
          </w:tcPr>
          <w:p w14:paraId="7CC9BEAE"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GW</w:t>
            </w:r>
          </w:p>
        </w:tc>
        <w:tc>
          <w:tcPr>
            <w:tcW w:w="6682" w:type="dxa"/>
            <w:vAlign w:val="center"/>
          </w:tcPr>
          <w:p w14:paraId="62A512D1" w14:textId="77777777" w:rsidR="001C2E23" w:rsidRPr="00BA41C3" w:rsidRDefault="001C2E23"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Gigawatt</w:t>
            </w:r>
          </w:p>
        </w:tc>
      </w:tr>
      <w:tr w:rsidR="000F66E6" w:rsidRPr="001E1FF2" w14:paraId="394D8DD0" w14:textId="77777777" w:rsidTr="001C2E23">
        <w:trPr>
          <w:trHeight w:val="360"/>
        </w:trPr>
        <w:tc>
          <w:tcPr>
            <w:tcW w:w="2678" w:type="dxa"/>
            <w:vAlign w:val="center"/>
          </w:tcPr>
          <w:p w14:paraId="220AC42C" w14:textId="35A62E07" w:rsidR="000F66E6" w:rsidRPr="001E1FF2" w:rsidRDefault="000F66E6" w:rsidP="001E1FF2">
            <w:pPr>
              <w:spacing w:after="0" w:line="240" w:lineRule="auto"/>
              <w:jc w:val="left"/>
              <w:rPr>
                <w:rFonts w:asciiTheme="minorHAnsi" w:hAnsiTheme="minorHAnsi" w:cstheme="minorHAnsi"/>
                <w:b/>
                <w:bCs/>
                <w:color w:val="4D4D4D"/>
              </w:rPr>
            </w:pPr>
            <w:r>
              <w:rPr>
                <w:rFonts w:asciiTheme="minorHAnsi" w:hAnsiTheme="minorHAnsi" w:cstheme="minorHAnsi"/>
                <w:b/>
                <w:bCs/>
                <w:color w:val="4D4D4D"/>
              </w:rPr>
              <w:t>GWH</w:t>
            </w:r>
          </w:p>
        </w:tc>
        <w:tc>
          <w:tcPr>
            <w:tcW w:w="6682" w:type="dxa"/>
            <w:vAlign w:val="center"/>
          </w:tcPr>
          <w:p w14:paraId="12148C0D" w14:textId="39B91EDD" w:rsidR="000F66E6" w:rsidRPr="001E1FF2" w:rsidRDefault="000F66E6" w:rsidP="001E1FF2">
            <w:pPr>
              <w:spacing w:after="0" w:line="240" w:lineRule="auto"/>
              <w:jc w:val="left"/>
              <w:rPr>
                <w:rFonts w:asciiTheme="minorHAnsi" w:hAnsiTheme="minorHAnsi" w:cstheme="minorHAnsi"/>
                <w:bCs/>
                <w:color w:val="4D4D4D"/>
              </w:rPr>
            </w:pPr>
            <w:r>
              <w:rPr>
                <w:rFonts w:asciiTheme="minorHAnsi" w:hAnsiTheme="minorHAnsi" w:cstheme="minorHAnsi"/>
                <w:bCs/>
                <w:color w:val="4D4D4D"/>
              </w:rPr>
              <w:t>Gigawatt Hour</w:t>
            </w:r>
          </w:p>
        </w:tc>
      </w:tr>
      <w:tr w:rsidR="001C2E23" w:rsidRPr="001E1FF2" w14:paraId="2AD2CA8B" w14:textId="77777777" w:rsidTr="001C2E23">
        <w:trPr>
          <w:trHeight w:val="360"/>
        </w:trPr>
        <w:tc>
          <w:tcPr>
            <w:tcW w:w="2678" w:type="dxa"/>
            <w:vAlign w:val="center"/>
          </w:tcPr>
          <w:p w14:paraId="1EF0FFAC"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HAI</w:t>
            </w:r>
          </w:p>
        </w:tc>
        <w:tc>
          <w:tcPr>
            <w:tcW w:w="6682" w:type="dxa"/>
            <w:vAlign w:val="center"/>
          </w:tcPr>
          <w:p w14:paraId="1E8D3910"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Humidified Air Injection</w:t>
            </w:r>
          </w:p>
        </w:tc>
      </w:tr>
      <w:tr w:rsidR="003D5FED" w:rsidRPr="001E1FF2" w14:paraId="0F4F41BE" w14:textId="77777777" w:rsidTr="001C2E23">
        <w:trPr>
          <w:trHeight w:val="360"/>
        </w:trPr>
        <w:tc>
          <w:tcPr>
            <w:tcW w:w="2678" w:type="dxa"/>
            <w:vAlign w:val="center"/>
          </w:tcPr>
          <w:p w14:paraId="2065272D" w14:textId="0F336D6C" w:rsidR="003D5FED" w:rsidRPr="001E1FF2" w:rsidRDefault="003D5FED"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HCl</w:t>
            </w:r>
          </w:p>
        </w:tc>
        <w:tc>
          <w:tcPr>
            <w:tcW w:w="6682" w:type="dxa"/>
            <w:vAlign w:val="center"/>
          </w:tcPr>
          <w:p w14:paraId="639CBEC4" w14:textId="1A02AD55" w:rsidR="003D5FED" w:rsidRPr="001E1FF2" w:rsidRDefault="003D5FED"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Hydrogen Chloride</w:t>
            </w:r>
          </w:p>
        </w:tc>
      </w:tr>
      <w:tr w:rsidR="001C2E23" w:rsidRPr="001E1FF2" w14:paraId="378B68FC" w14:textId="77777777" w:rsidTr="001C2E23">
        <w:trPr>
          <w:trHeight w:val="360"/>
        </w:trPr>
        <w:tc>
          <w:tcPr>
            <w:tcW w:w="2678" w:type="dxa"/>
            <w:vAlign w:val="center"/>
          </w:tcPr>
          <w:p w14:paraId="73B10505"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HDH</w:t>
            </w:r>
          </w:p>
        </w:tc>
        <w:tc>
          <w:tcPr>
            <w:tcW w:w="6682" w:type="dxa"/>
            <w:vAlign w:val="center"/>
          </w:tcPr>
          <w:p w14:paraId="691A7871"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Heating Degree Hours</w:t>
            </w:r>
          </w:p>
        </w:tc>
      </w:tr>
      <w:tr w:rsidR="001C2E23" w:rsidRPr="001E1FF2" w14:paraId="3FB61607" w14:textId="77777777" w:rsidTr="001C2E23">
        <w:trPr>
          <w:trHeight w:val="360"/>
        </w:trPr>
        <w:tc>
          <w:tcPr>
            <w:tcW w:w="2678" w:type="dxa"/>
            <w:vAlign w:val="center"/>
          </w:tcPr>
          <w:p w14:paraId="7A474E88"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HVAC</w:t>
            </w:r>
          </w:p>
        </w:tc>
        <w:tc>
          <w:tcPr>
            <w:tcW w:w="6682" w:type="dxa"/>
            <w:vAlign w:val="center"/>
          </w:tcPr>
          <w:p w14:paraId="1C9CA015"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Heating, Ventilation and Air Conditioning</w:t>
            </w:r>
          </w:p>
        </w:tc>
      </w:tr>
      <w:tr w:rsidR="001C2E23" w:rsidRPr="001E1FF2" w14:paraId="4DAA1F65" w14:textId="77777777" w:rsidTr="001C2E23">
        <w:trPr>
          <w:trHeight w:val="360"/>
        </w:trPr>
        <w:tc>
          <w:tcPr>
            <w:tcW w:w="2678" w:type="dxa"/>
            <w:vAlign w:val="center"/>
          </w:tcPr>
          <w:p w14:paraId="4777E08F"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Hydro</w:t>
            </w:r>
          </w:p>
        </w:tc>
        <w:tc>
          <w:tcPr>
            <w:tcW w:w="6682" w:type="dxa"/>
            <w:vAlign w:val="center"/>
          </w:tcPr>
          <w:p w14:paraId="5CEEBBDE"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Hydroelectric</w:t>
            </w:r>
          </w:p>
        </w:tc>
      </w:tr>
      <w:tr w:rsidR="003D5FED" w:rsidRPr="001E1FF2" w14:paraId="3AC5A72F" w14:textId="77777777" w:rsidTr="001C2E23">
        <w:trPr>
          <w:trHeight w:val="360"/>
        </w:trPr>
        <w:tc>
          <w:tcPr>
            <w:tcW w:w="2678" w:type="dxa"/>
            <w:vAlign w:val="center"/>
          </w:tcPr>
          <w:p w14:paraId="6B9141FD" w14:textId="40C9749C" w:rsidR="003D5FED" w:rsidRPr="001E1FF2" w:rsidRDefault="003D5FED"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I4GEN</w:t>
            </w:r>
          </w:p>
        </w:tc>
        <w:tc>
          <w:tcPr>
            <w:tcW w:w="6682" w:type="dxa"/>
            <w:vAlign w:val="center"/>
          </w:tcPr>
          <w:p w14:paraId="3E9D7CB3" w14:textId="0CBBA461" w:rsidR="003D5FED" w:rsidRPr="001E1FF2" w:rsidRDefault="003D5FED"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Insight through Integration of Information for Intelligent Generation</w:t>
            </w:r>
          </w:p>
        </w:tc>
      </w:tr>
      <w:tr w:rsidR="001C2E23" w:rsidRPr="001E1FF2" w14:paraId="434F0781" w14:textId="77777777" w:rsidTr="001C2E23">
        <w:trPr>
          <w:trHeight w:val="360"/>
        </w:trPr>
        <w:tc>
          <w:tcPr>
            <w:tcW w:w="2678" w:type="dxa"/>
            <w:vAlign w:val="center"/>
          </w:tcPr>
          <w:p w14:paraId="1283472D"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IAEA</w:t>
            </w:r>
          </w:p>
        </w:tc>
        <w:tc>
          <w:tcPr>
            <w:tcW w:w="6682" w:type="dxa"/>
            <w:vAlign w:val="center"/>
          </w:tcPr>
          <w:p w14:paraId="514E48E3"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International Atomic Energy Agency</w:t>
            </w:r>
          </w:p>
        </w:tc>
      </w:tr>
      <w:tr w:rsidR="003D5FED" w:rsidRPr="001E1FF2" w14:paraId="325A7A19" w14:textId="77777777" w:rsidTr="001C2E23">
        <w:trPr>
          <w:trHeight w:val="360"/>
        </w:trPr>
        <w:tc>
          <w:tcPr>
            <w:tcW w:w="2678" w:type="dxa"/>
            <w:vAlign w:val="center"/>
          </w:tcPr>
          <w:p w14:paraId="1D81130B" w14:textId="79B39008" w:rsidR="003D5FED" w:rsidRPr="001E1FF2" w:rsidRDefault="003D5FED"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IEC</w:t>
            </w:r>
          </w:p>
        </w:tc>
        <w:tc>
          <w:tcPr>
            <w:tcW w:w="6682" w:type="dxa"/>
            <w:vAlign w:val="center"/>
          </w:tcPr>
          <w:p w14:paraId="7BC43CB9" w14:textId="0BE66343" w:rsidR="003D5FED" w:rsidRPr="001E1FF2" w:rsidRDefault="00124BCB"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International Electrotechnical Commission</w:t>
            </w:r>
          </w:p>
        </w:tc>
      </w:tr>
      <w:tr w:rsidR="001C2E23" w:rsidRPr="001E1FF2" w14:paraId="72B44E5D" w14:textId="77777777" w:rsidTr="001C2E23">
        <w:trPr>
          <w:trHeight w:val="360"/>
        </w:trPr>
        <w:tc>
          <w:tcPr>
            <w:tcW w:w="2678" w:type="dxa"/>
            <w:vAlign w:val="center"/>
          </w:tcPr>
          <w:p w14:paraId="49DFADF0"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IGCC</w:t>
            </w:r>
          </w:p>
        </w:tc>
        <w:tc>
          <w:tcPr>
            <w:tcW w:w="6682" w:type="dxa"/>
            <w:vAlign w:val="center"/>
          </w:tcPr>
          <w:p w14:paraId="2520B45E"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Integrated Gasification Combined Cycle</w:t>
            </w:r>
          </w:p>
        </w:tc>
      </w:tr>
      <w:tr w:rsidR="00365339" w:rsidRPr="001E1FF2" w14:paraId="2B31DC9F" w14:textId="77777777" w:rsidTr="001C2E23">
        <w:trPr>
          <w:trHeight w:val="360"/>
        </w:trPr>
        <w:tc>
          <w:tcPr>
            <w:tcW w:w="2678" w:type="dxa"/>
            <w:vAlign w:val="center"/>
          </w:tcPr>
          <w:p w14:paraId="7669D77C" w14:textId="5C0880B9"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IHS Markit</w:t>
            </w:r>
          </w:p>
        </w:tc>
        <w:tc>
          <w:tcPr>
            <w:tcW w:w="6682" w:type="dxa"/>
            <w:vAlign w:val="center"/>
          </w:tcPr>
          <w:p w14:paraId="557CAE26" w14:textId="7EE3EC3D" w:rsidR="00365339" w:rsidRPr="001E1FF2" w:rsidRDefault="0036533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Informa</w:t>
            </w:r>
            <w:r w:rsidR="00772218" w:rsidRPr="001E1FF2">
              <w:rPr>
                <w:rFonts w:asciiTheme="minorHAnsi" w:hAnsiTheme="minorHAnsi" w:cstheme="minorHAnsi"/>
                <w:bCs/>
                <w:color w:val="4D4D4D"/>
                <w:sz w:val="22"/>
              </w:rPr>
              <w:t>tion Handling Services Markit</w:t>
            </w:r>
          </w:p>
        </w:tc>
      </w:tr>
      <w:tr w:rsidR="001C2E23" w:rsidRPr="001E1FF2" w14:paraId="137EE835" w14:textId="77777777" w:rsidTr="001C2E23">
        <w:trPr>
          <w:trHeight w:val="360"/>
        </w:trPr>
        <w:tc>
          <w:tcPr>
            <w:tcW w:w="2678" w:type="dxa"/>
            <w:vAlign w:val="center"/>
          </w:tcPr>
          <w:p w14:paraId="0A2F4C49"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IIC</w:t>
            </w:r>
          </w:p>
        </w:tc>
        <w:tc>
          <w:tcPr>
            <w:tcW w:w="6682" w:type="dxa"/>
            <w:vAlign w:val="center"/>
          </w:tcPr>
          <w:p w14:paraId="538E41CB"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Intercompany Interchange Contract</w:t>
            </w:r>
          </w:p>
        </w:tc>
      </w:tr>
      <w:tr w:rsidR="00124BCB" w:rsidRPr="001E1FF2" w14:paraId="7850F11E" w14:textId="77777777" w:rsidTr="001C2E23">
        <w:trPr>
          <w:trHeight w:val="360"/>
        </w:trPr>
        <w:tc>
          <w:tcPr>
            <w:tcW w:w="2678" w:type="dxa"/>
            <w:vAlign w:val="center"/>
          </w:tcPr>
          <w:p w14:paraId="40B74AEC" w14:textId="1252ACAD" w:rsidR="00124BCB" w:rsidRPr="001E1FF2" w:rsidRDefault="00124BCB"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IR</w:t>
            </w:r>
          </w:p>
        </w:tc>
        <w:tc>
          <w:tcPr>
            <w:tcW w:w="6682" w:type="dxa"/>
            <w:vAlign w:val="center"/>
          </w:tcPr>
          <w:p w14:paraId="52C20544" w14:textId="54C508FE" w:rsidR="00124BCB" w:rsidRPr="001E1FF2" w:rsidRDefault="00124BCB"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Infrared</w:t>
            </w:r>
          </w:p>
        </w:tc>
      </w:tr>
      <w:tr w:rsidR="001C2E23" w:rsidRPr="001E1FF2" w14:paraId="19AA57BD" w14:textId="77777777" w:rsidTr="001C2E23">
        <w:trPr>
          <w:trHeight w:val="360"/>
        </w:trPr>
        <w:tc>
          <w:tcPr>
            <w:tcW w:w="2678" w:type="dxa"/>
            <w:vAlign w:val="center"/>
          </w:tcPr>
          <w:p w14:paraId="069EFC78"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ITS</w:t>
            </w:r>
          </w:p>
        </w:tc>
        <w:tc>
          <w:tcPr>
            <w:tcW w:w="6682" w:type="dxa"/>
            <w:vAlign w:val="center"/>
          </w:tcPr>
          <w:p w14:paraId="1C483873"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Integrated Transmission System</w:t>
            </w:r>
          </w:p>
        </w:tc>
      </w:tr>
      <w:tr w:rsidR="0021743E" w:rsidRPr="001E1FF2" w14:paraId="10005E34" w14:textId="77777777" w:rsidTr="001C2E23">
        <w:trPr>
          <w:trHeight w:val="360"/>
        </w:trPr>
        <w:tc>
          <w:tcPr>
            <w:tcW w:w="2678" w:type="dxa"/>
            <w:vAlign w:val="center"/>
          </w:tcPr>
          <w:p w14:paraId="2DC61F6B" w14:textId="03CEFB6F" w:rsidR="0021743E" w:rsidRPr="0021743E" w:rsidRDefault="0021743E" w:rsidP="001E1FF2">
            <w:pPr>
              <w:spacing w:after="0" w:line="240" w:lineRule="auto"/>
              <w:jc w:val="left"/>
              <w:rPr>
                <w:rFonts w:asciiTheme="minorHAnsi" w:hAnsiTheme="minorHAnsi" w:cstheme="minorHAnsi"/>
                <w:b/>
                <w:bCs/>
                <w:color w:val="4D4D4D"/>
                <w:sz w:val="22"/>
              </w:rPr>
            </w:pPr>
            <w:r w:rsidRPr="0021743E">
              <w:rPr>
                <w:rFonts w:asciiTheme="minorHAnsi" w:hAnsiTheme="minorHAnsi" w:cstheme="minorHAnsi"/>
                <w:b/>
                <w:bCs/>
                <w:color w:val="4D4D4D"/>
                <w:sz w:val="22"/>
              </w:rPr>
              <w:t>ITS Participants</w:t>
            </w:r>
          </w:p>
        </w:tc>
        <w:tc>
          <w:tcPr>
            <w:tcW w:w="6682" w:type="dxa"/>
            <w:vAlign w:val="center"/>
          </w:tcPr>
          <w:p w14:paraId="24B006C4" w14:textId="60597A8C" w:rsidR="0021743E" w:rsidRPr="0021743E" w:rsidRDefault="0021743E" w:rsidP="001E1FF2">
            <w:pPr>
              <w:spacing w:after="0" w:line="240" w:lineRule="auto"/>
              <w:jc w:val="left"/>
              <w:rPr>
                <w:rFonts w:asciiTheme="minorHAnsi" w:hAnsiTheme="minorHAnsi" w:cstheme="minorHAnsi"/>
                <w:bCs/>
                <w:color w:val="4D4D4D"/>
                <w:sz w:val="22"/>
              </w:rPr>
            </w:pPr>
            <w:r w:rsidRPr="0021743E">
              <w:rPr>
                <w:rFonts w:asciiTheme="minorHAnsi" w:hAnsiTheme="minorHAnsi" w:cstheme="minorHAnsi"/>
                <w:bCs/>
                <w:color w:val="4D4D4D"/>
                <w:sz w:val="22"/>
              </w:rPr>
              <w:t>Georgia Power, GTC, MEAG Power, and Dalton Utilities</w:t>
            </w:r>
          </w:p>
        </w:tc>
      </w:tr>
      <w:tr w:rsidR="006D199F" w:rsidRPr="006D199F" w14:paraId="09572DDF" w14:textId="77777777" w:rsidTr="001C2E23">
        <w:trPr>
          <w:trHeight w:val="360"/>
        </w:trPr>
        <w:tc>
          <w:tcPr>
            <w:tcW w:w="2678" w:type="dxa"/>
            <w:vAlign w:val="center"/>
          </w:tcPr>
          <w:p w14:paraId="76579C4B" w14:textId="53B2326D" w:rsidR="006D199F" w:rsidRPr="006D199F" w:rsidRDefault="006D199F" w:rsidP="00517C31">
            <w:pPr>
              <w:spacing w:after="0" w:line="240" w:lineRule="auto"/>
              <w:jc w:val="left"/>
              <w:rPr>
                <w:rFonts w:asciiTheme="minorHAnsi" w:hAnsiTheme="minorHAnsi" w:cstheme="minorHAnsi"/>
                <w:b/>
                <w:bCs/>
                <w:color w:val="4D4D4D"/>
                <w:sz w:val="22"/>
              </w:rPr>
            </w:pPr>
            <w:r w:rsidRPr="006D199F">
              <w:rPr>
                <w:rFonts w:asciiTheme="minorHAnsi" w:hAnsiTheme="minorHAnsi" w:cstheme="minorHAnsi"/>
                <w:b/>
                <w:bCs/>
                <w:color w:val="4D4D4D"/>
                <w:sz w:val="22"/>
              </w:rPr>
              <w:t>LCOE</w:t>
            </w:r>
          </w:p>
        </w:tc>
        <w:tc>
          <w:tcPr>
            <w:tcW w:w="6682" w:type="dxa"/>
            <w:vAlign w:val="center"/>
          </w:tcPr>
          <w:p w14:paraId="1A13EC26" w14:textId="44195679" w:rsidR="006D199F" w:rsidRPr="006D199F" w:rsidRDefault="006D199F" w:rsidP="00517C31">
            <w:pPr>
              <w:spacing w:after="0" w:line="240" w:lineRule="auto"/>
              <w:jc w:val="left"/>
              <w:rPr>
                <w:rFonts w:asciiTheme="minorHAnsi" w:hAnsiTheme="minorHAnsi" w:cstheme="minorHAnsi"/>
                <w:bCs/>
                <w:color w:val="4D4D4D"/>
                <w:sz w:val="22"/>
              </w:rPr>
            </w:pPr>
            <w:r w:rsidRPr="006D199F">
              <w:rPr>
                <w:rFonts w:asciiTheme="minorHAnsi" w:hAnsiTheme="minorHAnsi" w:cstheme="minorHAnsi"/>
                <w:bCs/>
                <w:color w:val="4D4D4D"/>
                <w:sz w:val="22"/>
              </w:rPr>
              <w:t>Levelized Cost of Energy</w:t>
            </w:r>
          </w:p>
        </w:tc>
      </w:tr>
      <w:tr w:rsidR="001C2E23" w:rsidRPr="001E1FF2" w14:paraId="7A53547A" w14:textId="77777777" w:rsidTr="001C2E23">
        <w:trPr>
          <w:trHeight w:val="360"/>
        </w:trPr>
        <w:tc>
          <w:tcPr>
            <w:tcW w:w="2678" w:type="dxa"/>
            <w:vAlign w:val="center"/>
          </w:tcPr>
          <w:p w14:paraId="36F4BDD6"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LiDAR</w:t>
            </w:r>
          </w:p>
        </w:tc>
        <w:tc>
          <w:tcPr>
            <w:tcW w:w="6682" w:type="dxa"/>
            <w:vAlign w:val="center"/>
          </w:tcPr>
          <w:p w14:paraId="66237BDA"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Light Detection and Ranging</w:t>
            </w:r>
          </w:p>
        </w:tc>
      </w:tr>
      <w:tr w:rsidR="001C2E23" w:rsidRPr="001E1FF2" w14:paraId="1DF5CF72" w14:textId="77777777" w:rsidTr="001C2E23">
        <w:trPr>
          <w:trHeight w:val="360"/>
        </w:trPr>
        <w:tc>
          <w:tcPr>
            <w:tcW w:w="2678" w:type="dxa"/>
            <w:vAlign w:val="center"/>
          </w:tcPr>
          <w:p w14:paraId="69DCB6F1"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LoadMAP</w:t>
            </w:r>
          </w:p>
        </w:tc>
        <w:tc>
          <w:tcPr>
            <w:tcW w:w="6682" w:type="dxa"/>
            <w:vAlign w:val="center"/>
          </w:tcPr>
          <w:p w14:paraId="536327AC"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Load Management Analysis and Planning</w:t>
            </w:r>
          </w:p>
        </w:tc>
      </w:tr>
      <w:tr w:rsidR="001C2E23" w:rsidRPr="001E1FF2" w14:paraId="21A14760" w14:textId="77777777" w:rsidTr="001C2E23">
        <w:trPr>
          <w:trHeight w:val="360"/>
        </w:trPr>
        <w:tc>
          <w:tcPr>
            <w:tcW w:w="2678" w:type="dxa"/>
            <w:vAlign w:val="center"/>
          </w:tcPr>
          <w:p w14:paraId="7A2419B5"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LWR</w:t>
            </w:r>
          </w:p>
        </w:tc>
        <w:tc>
          <w:tcPr>
            <w:tcW w:w="6682" w:type="dxa"/>
            <w:vAlign w:val="center"/>
          </w:tcPr>
          <w:p w14:paraId="55FB3807"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Light Water Reactor</w:t>
            </w:r>
          </w:p>
        </w:tc>
      </w:tr>
      <w:tr w:rsidR="001C2E23" w:rsidRPr="001E1FF2" w14:paraId="059B9BDA" w14:textId="77777777" w:rsidTr="001C2E23">
        <w:trPr>
          <w:trHeight w:val="360"/>
        </w:trPr>
        <w:tc>
          <w:tcPr>
            <w:tcW w:w="2678" w:type="dxa"/>
            <w:vAlign w:val="center"/>
          </w:tcPr>
          <w:p w14:paraId="433BF7C1"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MARTA</w:t>
            </w:r>
          </w:p>
        </w:tc>
        <w:tc>
          <w:tcPr>
            <w:tcW w:w="6682" w:type="dxa"/>
            <w:vAlign w:val="center"/>
          </w:tcPr>
          <w:p w14:paraId="6E9C84B2"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Metropolitan Atlanta Rapid Transit Authority</w:t>
            </w:r>
          </w:p>
        </w:tc>
      </w:tr>
      <w:tr w:rsidR="001C2E23" w:rsidRPr="001E1FF2" w14:paraId="29E5D25A" w14:textId="77777777" w:rsidTr="001C2E23">
        <w:trPr>
          <w:trHeight w:val="360"/>
        </w:trPr>
        <w:tc>
          <w:tcPr>
            <w:tcW w:w="2678" w:type="dxa"/>
            <w:vAlign w:val="center"/>
          </w:tcPr>
          <w:p w14:paraId="3DB69EFC"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MCFC</w:t>
            </w:r>
          </w:p>
        </w:tc>
        <w:tc>
          <w:tcPr>
            <w:tcW w:w="6682" w:type="dxa"/>
            <w:vAlign w:val="center"/>
          </w:tcPr>
          <w:p w14:paraId="21FE0A82"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Molten Carbonate Fuel Cell</w:t>
            </w:r>
          </w:p>
        </w:tc>
      </w:tr>
      <w:tr w:rsidR="00124BCB" w:rsidRPr="001E1FF2" w14:paraId="5F8DA83A" w14:textId="77777777" w:rsidTr="001C2E23">
        <w:trPr>
          <w:trHeight w:val="360"/>
        </w:trPr>
        <w:tc>
          <w:tcPr>
            <w:tcW w:w="2678" w:type="dxa"/>
            <w:vAlign w:val="center"/>
          </w:tcPr>
          <w:p w14:paraId="10027C32" w14:textId="5E1A6F40" w:rsidR="00124BCB" w:rsidRPr="001E1FF2" w:rsidRDefault="00124BCB"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MCFR</w:t>
            </w:r>
          </w:p>
        </w:tc>
        <w:tc>
          <w:tcPr>
            <w:tcW w:w="6682" w:type="dxa"/>
            <w:vAlign w:val="center"/>
          </w:tcPr>
          <w:p w14:paraId="4A6353AB" w14:textId="19EC8E58" w:rsidR="00124BCB" w:rsidRPr="001E1FF2" w:rsidRDefault="00124BCB"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Molten Chloride Fast Reactor</w:t>
            </w:r>
          </w:p>
        </w:tc>
      </w:tr>
      <w:tr w:rsidR="001C2E23" w:rsidRPr="001E1FF2" w14:paraId="6FA1D3A6" w14:textId="77777777" w:rsidTr="001C2E23">
        <w:trPr>
          <w:trHeight w:val="360"/>
        </w:trPr>
        <w:tc>
          <w:tcPr>
            <w:tcW w:w="2678" w:type="dxa"/>
            <w:vAlign w:val="center"/>
          </w:tcPr>
          <w:p w14:paraId="70C39837"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MDA</w:t>
            </w:r>
          </w:p>
        </w:tc>
        <w:tc>
          <w:tcPr>
            <w:tcW w:w="6682" w:type="dxa"/>
            <w:vAlign w:val="center"/>
          </w:tcPr>
          <w:p w14:paraId="1AB367CD"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Market Differential Adjustment</w:t>
            </w:r>
          </w:p>
        </w:tc>
      </w:tr>
      <w:tr w:rsidR="007F3CF6" w:rsidRPr="001E1FF2" w14:paraId="56DCB883" w14:textId="77777777" w:rsidTr="001C2E23">
        <w:trPr>
          <w:trHeight w:val="360"/>
        </w:trPr>
        <w:tc>
          <w:tcPr>
            <w:tcW w:w="2678" w:type="dxa"/>
            <w:vAlign w:val="center"/>
          </w:tcPr>
          <w:p w14:paraId="1140F6C7" w14:textId="7CE11A9A" w:rsidR="007F3CF6" w:rsidRPr="001E1FF2" w:rsidRDefault="007F3CF6"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MEAG Power</w:t>
            </w:r>
          </w:p>
        </w:tc>
        <w:tc>
          <w:tcPr>
            <w:tcW w:w="6682" w:type="dxa"/>
            <w:vAlign w:val="center"/>
          </w:tcPr>
          <w:p w14:paraId="0447F05C" w14:textId="296382B6" w:rsidR="007F3CF6" w:rsidRPr="001E1FF2" w:rsidRDefault="007F3CF6"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Municipal Electric Authority of Georgia</w:t>
            </w:r>
          </w:p>
        </w:tc>
      </w:tr>
      <w:tr w:rsidR="001C2E23" w:rsidRPr="001E1FF2" w14:paraId="71753D2A" w14:textId="77777777" w:rsidTr="001C2E23">
        <w:trPr>
          <w:trHeight w:val="360"/>
        </w:trPr>
        <w:tc>
          <w:tcPr>
            <w:tcW w:w="2678" w:type="dxa"/>
            <w:vAlign w:val="center"/>
          </w:tcPr>
          <w:p w14:paraId="2E417FA4"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MG0</w:t>
            </w:r>
          </w:p>
        </w:tc>
        <w:tc>
          <w:tcPr>
            <w:tcW w:w="6682" w:type="dxa"/>
            <w:vAlign w:val="center"/>
          </w:tcPr>
          <w:p w14:paraId="21CA85A1"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Moderate-gas, zero-dollar carbon</w:t>
            </w:r>
          </w:p>
        </w:tc>
      </w:tr>
      <w:tr w:rsidR="001C2E23" w:rsidRPr="001E1FF2" w14:paraId="4738FDCA" w14:textId="77777777" w:rsidTr="001C2E23">
        <w:trPr>
          <w:trHeight w:val="360"/>
        </w:trPr>
        <w:tc>
          <w:tcPr>
            <w:tcW w:w="2678" w:type="dxa"/>
            <w:vAlign w:val="center"/>
          </w:tcPr>
          <w:p w14:paraId="39B85FA1"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MHD</w:t>
            </w:r>
          </w:p>
        </w:tc>
        <w:tc>
          <w:tcPr>
            <w:tcW w:w="6682" w:type="dxa"/>
            <w:vAlign w:val="center"/>
          </w:tcPr>
          <w:p w14:paraId="71398890"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Magnetohydrodynamics</w:t>
            </w:r>
          </w:p>
        </w:tc>
      </w:tr>
      <w:tr w:rsidR="00772218" w:rsidRPr="001E1FF2" w14:paraId="2BACCAC1" w14:textId="77777777" w:rsidTr="001C2E23">
        <w:trPr>
          <w:trHeight w:val="360"/>
        </w:trPr>
        <w:tc>
          <w:tcPr>
            <w:tcW w:w="2678" w:type="dxa"/>
            <w:vAlign w:val="center"/>
          </w:tcPr>
          <w:p w14:paraId="03E1B897" w14:textId="3F525AD6" w:rsidR="00772218" w:rsidRPr="001E1FF2" w:rsidRDefault="0077221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Mississippi Power</w:t>
            </w:r>
          </w:p>
        </w:tc>
        <w:tc>
          <w:tcPr>
            <w:tcW w:w="6682" w:type="dxa"/>
            <w:vAlign w:val="center"/>
          </w:tcPr>
          <w:p w14:paraId="057319AE" w14:textId="103E4ADB" w:rsidR="00772218" w:rsidRPr="001E1FF2" w:rsidRDefault="0077221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Mississippi Power Company</w:t>
            </w:r>
          </w:p>
        </w:tc>
      </w:tr>
      <w:tr w:rsidR="001C2E23" w:rsidRPr="001E1FF2" w14:paraId="486E9DC6" w14:textId="77777777" w:rsidTr="001C2E23">
        <w:trPr>
          <w:trHeight w:val="360"/>
        </w:trPr>
        <w:tc>
          <w:tcPr>
            <w:tcW w:w="2678" w:type="dxa"/>
            <w:vAlign w:val="center"/>
          </w:tcPr>
          <w:p w14:paraId="706D036C"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MSW</w:t>
            </w:r>
          </w:p>
        </w:tc>
        <w:tc>
          <w:tcPr>
            <w:tcW w:w="6682" w:type="dxa"/>
            <w:vAlign w:val="center"/>
          </w:tcPr>
          <w:p w14:paraId="21294CA8"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Municipal Solid Waste</w:t>
            </w:r>
          </w:p>
        </w:tc>
      </w:tr>
      <w:tr w:rsidR="001C2E23" w:rsidRPr="001E1FF2" w14:paraId="011C542C" w14:textId="77777777" w:rsidTr="001C2E23">
        <w:trPr>
          <w:trHeight w:val="360"/>
        </w:trPr>
        <w:tc>
          <w:tcPr>
            <w:tcW w:w="2678" w:type="dxa"/>
            <w:vAlign w:val="center"/>
          </w:tcPr>
          <w:p w14:paraId="56A79F7A"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MT</w:t>
            </w:r>
          </w:p>
        </w:tc>
        <w:tc>
          <w:tcPr>
            <w:tcW w:w="6682" w:type="dxa"/>
            <w:vAlign w:val="center"/>
          </w:tcPr>
          <w:p w14:paraId="779DF065"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Micro-tubular</w:t>
            </w:r>
          </w:p>
        </w:tc>
      </w:tr>
      <w:tr w:rsidR="001C2E23" w:rsidRPr="001E1FF2" w14:paraId="434E20FC" w14:textId="77777777" w:rsidTr="001C2E23">
        <w:trPr>
          <w:trHeight w:val="360"/>
        </w:trPr>
        <w:tc>
          <w:tcPr>
            <w:tcW w:w="2678" w:type="dxa"/>
            <w:vAlign w:val="center"/>
          </w:tcPr>
          <w:p w14:paraId="36D5CAAA"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MW</w:t>
            </w:r>
          </w:p>
        </w:tc>
        <w:tc>
          <w:tcPr>
            <w:tcW w:w="6682" w:type="dxa"/>
            <w:vAlign w:val="center"/>
          </w:tcPr>
          <w:p w14:paraId="42CCBBD1"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Megawatt</w:t>
            </w:r>
          </w:p>
        </w:tc>
      </w:tr>
      <w:tr w:rsidR="003D5FED" w:rsidRPr="001E1FF2" w14:paraId="289317A8" w14:textId="77777777" w:rsidTr="001C2E23">
        <w:trPr>
          <w:trHeight w:val="360"/>
        </w:trPr>
        <w:tc>
          <w:tcPr>
            <w:tcW w:w="2678" w:type="dxa"/>
            <w:vAlign w:val="center"/>
          </w:tcPr>
          <w:p w14:paraId="3608C914" w14:textId="5F39422D" w:rsidR="003D5FED" w:rsidRPr="001E1FF2" w:rsidRDefault="003D5FED"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MWh</w:t>
            </w:r>
          </w:p>
        </w:tc>
        <w:tc>
          <w:tcPr>
            <w:tcW w:w="6682" w:type="dxa"/>
            <w:vAlign w:val="center"/>
          </w:tcPr>
          <w:p w14:paraId="0A16D26B" w14:textId="1ACF2396" w:rsidR="003D5FED" w:rsidRPr="001E1FF2" w:rsidRDefault="003D5FED"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Megawatt Hour</w:t>
            </w:r>
          </w:p>
        </w:tc>
      </w:tr>
      <w:tr w:rsidR="001C2E23" w:rsidRPr="001E1FF2" w14:paraId="7CE6E241" w14:textId="77777777" w:rsidTr="001C2E23">
        <w:trPr>
          <w:trHeight w:val="360"/>
        </w:trPr>
        <w:tc>
          <w:tcPr>
            <w:tcW w:w="2678" w:type="dxa"/>
            <w:vAlign w:val="center"/>
          </w:tcPr>
          <w:p w14:paraId="27543825"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NERC</w:t>
            </w:r>
          </w:p>
        </w:tc>
        <w:tc>
          <w:tcPr>
            <w:tcW w:w="6682" w:type="dxa"/>
            <w:vAlign w:val="center"/>
          </w:tcPr>
          <w:p w14:paraId="64FA99B0"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North American Electric Reliability Council</w:t>
            </w:r>
          </w:p>
        </w:tc>
      </w:tr>
      <w:tr w:rsidR="00124BCB" w:rsidRPr="001E1FF2" w14:paraId="17BB5BB0" w14:textId="77777777" w:rsidTr="001C2E23">
        <w:trPr>
          <w:trHeight w:val="360"/>
        </w:trPr>
        <w:tc>
          <w:tcPr>
            <w:tcW w:w="2678" w:type="dxa"/>
            <w:vAlign w:val="center"/>
          </w:tcPr>
          <w:p w14:paraId="349902C9" w14:textId="26640BEC" w:rsidR="00124BCB" w:rsidRPr="001E1FF2" w:rsidRDefault="00124BCB"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NH</w:t>
            </w:r>
            <w:r w:rsidRPr="001E1FF2">
              <w:rPr>
                <w:rFonts w:asciiTheme="minorHAnsi" w:hAnsiTheme="minorHAnsi" w:cstheme="minorHAnsi"/>
                <w:b/>
                <w:bCs/>
                <w:color w:val="4D4D4D"/>
                <w:sz w:val="22"/>
                <w:vertAlign w:val="subscript"/>
              </w:rPr>
              <w:t>3</w:t>
            </w:r>
          </w:p>
        </w:tc>
        <w:tc>
          <w:tcPr>
            <w:tcW w:w="6682" w:type="dxa"/>
            <w:vAlign w:val="center"/>
          </w:tcPr>
          <w:p w14:paraId="6D0C9BA1" w14:textId="6759B2AF" w:rsidR="00124BCB" w:rsidRPr="001E1FF2" w:rsidRDefault="00124BCB"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Ammonia</w:t>
            </w:r>
          </w:p>
        </w:tc>
      </w:tr>
      <w:tr w:rsidR="001C2E23" w:rsidRPr="001E1FF2" w14:paraId="33C6F1F3" w14:textId="77777777" w:rsidTr="001C2E23">
        <w:trPr>
          <w:trHeight w:val="360"/>
        </w:trPr>
        <w:tc>
          <w:tcPr>
            <w:tcW w:w="2678" w:type="dxa"/>
            <w:vAlign w:val="center"/>
          </w:tcPr>
          <w:p w14:paraId="4082D857"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NOI</w:t>
            </w:r>
          </w:p>
        </w:tc>
        <w:tc>
          <w:tcPr>
            <w:tcW w:w="6682" w:type="dxa"/>
            <w:vAlign w:val="center"/>
          </w:tcPr>
          <w:p w14:paraId="76B25DD7"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Notice of Intent</w:t>
            </w:r>
          </w:p>
        </w:tc>
      </w:tr>
      <w:tr w:rsidR="00124BCB" w:rsidRPr="001E1FF2" w14:paraId="2B9759C8" w14:textId="77777777" w:rsidTr="001C2E23">
        <w:trPr>
          <w:trHeight w:val="360"/>
        </w:trPr>
        <w:tc>
          <w:tcPr>
            <w:tcW w:w="2678" w:type="dxa"/>
            <w:vAlign w:val="center"/>
          </w:tcPr>
          <w:p w14:paraId="72EC8363" w14:textId="36C016DF" w:rsidR="00124BCB" w:rsidRPr="001E1FF2" w:rsidRDefault="00124BCB"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NO</w:t>
            </w:r>
            <w:r w:rsidRPr="001E1FF2">
              <w:rPr>
                <w:rFonts w:asciiTheme="minorHAnsi" w:hAnsiTheme="minorHAnsi" w:cstheme="minorHAnsi"/>
                <w:b/>
                <w:bCs/>
                <w:color w:val="4D4D4D"/>
                <w:sz w:val="22"/>
                <w:vertAlign w:val="subscript"/>
              </w:rPr>
              <w:t>X</w:t>
            </w:r>
          </w:p>
        </w:tc>
        <w:tc>
          <w:tcPr>
            <w:tcW w:w="6682" w:type="dxa"/>
            <w:vAlign w:val="center"/>
          </w:tcPr>
          <w:p w14:paraId="76796EAA" w14:textId="7C2DAB31" w:rsidR="00124BCB" w:rsidRPr="001E1FF2" w:rsidRDefault="00124BCB"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Nitrogen Oxide</w:t>
            </w:r>
          </w:p>
        </w:tc>
      </w:tr>
      <w:tr w:rsidR="001C2E23" w:rsidRPr="001E1FF2" w14:paraId="52A39482" w14:textId="77777777" w:rsidTr="001C2E23">
        <w:trPr>
          <w:trHeight w:val="360"/>
        </w:trPr>
        <w:tc>
          <w:tcPr>
            <w:tcW w:w="2678" w:type="dxa"/>
            <w:vAlign w:val="center"/>
          </w:tcPr>
          <w:p w14:paraId="723CC008"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NPV</w:t>
            </w:r>
          </w:p>
        </w:tc>
        <w:tc>
          <w:tcPr>
            <w:tcW w:w="6682" w:type="dxa"/>
            <w:vAlign w:val="center"/>
          </w:tcPr>
          <w:p w14:paraId="1F9FDB0F"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Net Present Value</w:t>
            </w:r>
          </w:p>
        </w:tc>
      </w:tr>
      <w:tr w:rsidR="001C2E23" w:rsidRPr="001E1FF2" w14:paraId="15249F85" w14:textId="77777777" w:rsidTr="001C2E23">
        <w:trPr>
          <w:trHeight w:val="360"/>
        </w:trPr>
        <w:tc>
          <w:tcPr>
            <w:tcW w:w="2678" w:type="dxa"/>
            <w:vAlign w:val="center"/>
          </w:tcPr>
          <w:p w14:paraId="688512B2"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NRC</w:t>
            </w:r>
          </w:p>
        </w:tc>
        <w:tc>
          <w:tcPr>
            <w:tcW w:w="6682" w:type="dxa"/>
            <w:vAlign w:val="center"/>
          </w:tcPr>
          <w:p w14:paraId="542B1DD7"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Nuclear Regulatory Commission</w:t>
            </w:r>
          </w:p>
        </w:tc>
      </w:tr>
      <w:tr w:rsidR="001C2E23" w:rsidRPr="001E1FF2" w14:paraId="25F6934D" w14:textId="77777777" w:rsidTr="001C2E23">
        <w:trPr>
          <w:trHeight w:val="360"/>
        </w:trPr>
        <w:tc>
          <w:tcPr>
            <w:tcW w:w="2678" w:type="dxa"/>
            <w:vAlign w:val="center"/>
          </w:tcPr>
          <w:p w14:paraId="39217DC7"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NWA</w:t>
            </w:r>
          </w:p>
        </w:tc>
        <w:tc>
          <w:tcPr>
            <w:tcW w:w="6682" w:type="dxa"/>
            <w:vAlign w:val="center"/>
          </w:tcPr>
          <w:p w14:paraId="54E31056"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Non-wires Alternatives</w:t>
            </w:r>
          </w:p>
        </w:tc>
      </w:tr>
      <w:tr w:rsidR="001C2E23" w:rsidRPr="001E1FF2" w14:paraId="084365D8" w14:textId="77777777" w:rsidTr="001C2E23">
        <w:trPr>
          <w:trHeight w:val="360"/>
        </w:trPr>
        <w:tc>
          <w:tcPr>
            <w:tcW w:w="2678" w:type="dxa"/>
            <w:vAlign w:val="center"/>
          </w:tcPr>
          <w:p w14:paraId="7F7DC590"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O&amp;M</w:t>
            </w:r>
          </w:p>
        </w:tc>
        <w:tc>
          <w:tcPr>
            <w:tcW w:w="6682" w:type="dxa"/>
            <w:vAlign w:val="center"/>
          </w:tcPr>
          <w:p w14:paraId="1711284A"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Operations and Maintenance</w:t>
            </w:r>
          </w:p>
        </w:tc>
      </w:tr>
      <w:tr w:rsidR="001C2E23" w:rsidRPr="001E1FF2" w14:paraId="232B2C1E" w14:textId="77777777" w:rsidTr="001C2E23">
        <w:trPr>
          <w:trHeight w:val="360"/>
        </w:trPr>
        <w:tc>
          <w:tcPr>
            <w:tcW w:w="2678" w:type="dxa"/>
            <w:vAlign w:val="center"/>
          </w:tcPr>
          <w:p w14:paraId="1CA6C379"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OEM</w:t>
            </w:r>
          </w:p>
        </w:tc>
        <w:tc>
          <w:tcPr>
            <w:tcW w:w="6682" w:type="dxa"/>
            <w:vAlign w:val="center"/>
          </w:tcPr>
          <w:p w14:paraId="44A5AEAE"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 xml:space="preserve">Original Equipment Manufacturer </w:t>
            </w:r>
          </w:p>
        </w:tc>
      </w:tr>
      <w:tr w:rsidR="001C2E23" w:rsidRPr="001E1FF2" w14:paraId="482FFB63" w14:textId="77777777" w:rsidTr="001C2E23">
        <w:trPr>
          <w:trHeight w:val="360"/>
        </w:trPr>
        <w:tc>
          <w:tcPr>
            <w:tcW w:w="2678" w:type="dxa"/>
            <w:vAlign w:val="center"/>
          </w:tcPr>
          <w:p w14:paraId="4A484BBF"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Operating Companies</w:t>
            </w:r>
          </w:p>
        </w:tc>
        <w:tc>
          <w:tcPr>
            <w:tcW w:w="6682" w:type="dxa"/>
            <w:vAlign w:val="center"/>
          </w:tcPr>
          <w:p w14:paraId="528EB7DA"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Georgia Power Company, Alabama Power Company</w:t>
            </w:r>
            <w:r w:rsidRPr="001E1FF2">
              <w:rPr>
                <w:rFonts w:asciiTheme="minorHAnsi" w:hAnsiTheme="minorHAnsi" w:cstheme="minorHAnsi"/>
                <w:bCs/>
                <w:sz w:val="22"/>
              </w:rPr>
              <w:t xml:space="preserve">, Gulf Power Company, </w:t>
            </w:r>
            <w:r w:rsidRPr="001E1FF2">
              <w:rPr>
                <w:rFonts w:asciiTheme="minorHAnsi" w:hAnsiTheme="minorHAnsi" w:cstheme="minorHAnsi"/>
                <w:bCs/>
                <w:color w:val="4D4D4D"/>
                <w:sz w:val="22"/>
              </w:rPr>
              <w:t xml:space="preserve">Mississippi Power Company, and Southern Power Company </w:t>
            </w:r>
          </w:p>
        </w:tc>
      </w:tr>
      <w:tr w:rsidR="00FA64AC" w:rsidRPr="001E1FF2" w14:paraId="5714069A" w14:textId="77777777" w:rsidTr="001C2E23">
        <w:trPr>
          <w:trHeight w:val="360"/>
        </w:trPr>
        <w:tc>
          <w:tcPr>
            <w:tcW w:w="2678" w:type="dxa"/>
            <w:vAlign w:val="center"/>
          </w:tcPr>
          <w:p w14:paraId="459BC353" w14:textId="79D20C7B" w:rsidR="00FA64AC" w:rsidRPr="001E1FF2" w:rsidRDefault="00FA64AC"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OPTSUN</w:t>
            </w:r>
          </w:p>
        </w:tc>
        <w:tc>
          <w:tcPr>
            <w:tcW w:w="6682" w:type="dxa"/>
            <w:vAlign w:val="center"/>
          </w:tcPr>
          <w:p w14:paraId="03A11E4C" w14:textId="26793A49" w:rsidR="00FA64AC" w:rsidRPr="001E1FF2" w:rsidRDefault="00FA64AC"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Operational Probabilistic Tools for Solar Uncertainty</w:t>
            </w:r>
          </w:p>
        </w:tc>
      </w:tr>
      <w:tr w:rsidR="001C2E23" w:rsidRPr="001E1FF2" w14:paraId="6613D747" w14:textId="77777777" w:rsidTr="001C2E23">
        <w:trPr>
          <w:trHeight w:val="360"/>
        </w:trPr>
        <w:tc>
          <w:tcPr>
            <w:tcW w:w="2678" w:type="dxa"/>
            <w:vAlign w:val="center"/>
          </w:tcPr>
          <w:p w14:paraId="73CBF2F5"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PACT</w:t>
            </w:r>
          </w:p>
        </w:tc>
        <w:tc>
          <w:tcPr>
            <w:tcW w:w="6682" w:type="dxa"/>
            <w:vAlign w:val="center"/>
          </w:tcPr>
          <w:p w14:paraId="723493B7"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Program Administrator Cost Test</w:t>
            </w:r>
          </w:p>
        </w:tc>
      </w:tr>
      <w:tr w:rsidR="001C2E23" w:rsidRPr="001E1FF2" w14:paraId="0BC389A5" w14:textId="77777777" w:rsidTr="001C2E23">
        <w:trPr>
          <w:trHeight w:val="360"/>
        </w:trPr>
        <w:tc>
          <w:tcPr>
            <w:tcW w:w="2678" w:type="dxa"/>
            <w:vAlign w:val="center"/>
          </w:tcPr>
          <w:p w14:paraId="2236AC1E"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PAFC</w:t>
            </w:r>
          </w:p>
        </w:tc>
        <w:tc>
          <w:tcPr>
            <w:tcW w:w="6682" w:type="dxa"/>
            <w:vAlign w:val="center"/>
          </w:tcPr>
          <w:p w14:paraId="2675AEE7"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Phosphoric Acid Fuel Cells</w:t>
            </w:r>
          </w:p>
        </w:tc>
      </w:tr>
      <w:tr w:rsidR="001C2E23" w:rsidRPr="001E1FF2" w14:paraId="09F62EA9" w14:textId="77777777" w:rsidTr="001C2E23">
        <w:trPr>
          <w:trHeight w:val="360"/>
        </w:trPr>
        <w:tc>
          <w:tcPr>
            <w:tcW w:w="2678" w:type="dxa"/>
            <w:vAlign w:val="center"/>
          </w:tcPr>
          <w:p w14:paraId="67843B7B" w14:textId="77777777" w:rsidR="001C2E23" w:rsidRPr="001E1FF2" w:rsidRDefault="001C2E23"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PDM</w:t>
            </w:r>
          </w:p>
        </w:tc>
        <w:tc>
          <w:tcPr>
            <w:tcW w:w="6682" w:type="dxa"/>
            <w:vAlign w:val="center"/>
          </w:tcPr>
          <w:p w14:paraId="56EAD4E5" w14:textId="77777777" w:rsidR="001C2E23" w:rsidRPr="001E1FF2" w:rsidRDefault="001C2E23"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Peak Demand Model</w:t>
            </w:r>
          </w:p>
        </w:tc>
      </w:tr>
      <w:tr w:rsidR="00870EF8" w:rsidRPr="001E1FF2" w14:paraId="4C923989" w14:textId="77777777" w:rsidTr="001C2E23">
        <w:trPr>
          <w:trHeight w:val="360"/>
        </w:trPr>
        <w:tc>
          <w:tcPr>
            <w:tcW w:w="2678" w:type="dxa"/>
            <w:vAlign w:val="center"/>
          </w:tcPr>
          <w:p w14:paraId="345F280B" w14:textId="2DC0A5FF" w:rsidR="00870EF8" w:rsidRPr="001E1FF2" w:rsidRDefault="00870EF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The Plan</w:t>
            </w:r>
          </w:p>
        </w:tc>
        <w:tc>
          <w:tcPr>
            <w:tcW w:w="6682" w:type="dxa"/>
            <w:vAlign w:val="center"/>
          </w:tcPr>
          <w:p w14:paraId="41900164" w14:textId="6EFDE3F6" w:rsidR="00870EF8" w:rsidRPr="001E1FF2" w:rsidRDefault="00870EF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 xml:space="preserve">Action Plan approved by the Commission in its </w:t>
            </w:r>
            <w:r w:rsidRPr="001E1FF2">
              <w:rPr>
                <w:rFonts w:asciiTheme="minorHAnsi" w:hAnsiTheme="minorHAnsi" w:cstheme="minorHAnsi"/>
                <w:i/>
                <w:sz w:val="22"/>
              </w:rPr>
              <w:t>Order approving Georgia Power Company’s Proposal to Offer Certain Wholesale Capacity Blocks to Retail Jurisdiction</w:t>
            </w:r>
            <w:r w:rsidR="00365339" w:rsidRPr="001E1FF2">
              <w:rPr>
                <w:rFonts w:asciiTheme="minorHAnsi" w:hAnsiTheme="minorHAnsi" w:cstheme="minorHAnsi"/>
                <w:sz w:val="22"/>
              </w:rPr>
              <w:t>, Docket No. 26550-U (July 30, 2008)</w:t>
            </w:r>
          </w:p>
        </w:tc>
      </w:tr>
      <w:tr w:rsidR="00365339" w:rsidRPr="001E1FF2" w14:paraId="6FD4D5BD" w14:textId="77777777" w:rsidTr="001C2E23">
        <w:trPr>
          <w:trHeight w:val="360"/>
        </w:trPr>
        <w:tc>
          <w:tcPr>
            <w:tcW w:w="2678" w:type="dxa"/>
            <w:vAlign w:val="center"/>
          </w:tcPr>
          <w:p w14:paraId="4468B83A"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PPA</w:t>
            </w:r>
          </w:p>
        </w:tc>
        <w:tc>
          <w:tcPr>
            <w:tcW w:w="6682" w:type="dxa"/>
            <w:vAlign w:val="center"/>
          </w:tcPr>
          <w:p w14:paraId="007050B5"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Power Purchase Agreement</w:t>
            </w:r>
          </w:p>
        </w:tc>
      </w:tr>
      <w:tr w:rsidR="00365339" w:rsidRPr="001E1FF2" w14:paraId="148F0B57" w14:textId="77777777" w:rsidTr="001C2E23">
        <w:trPr>
          <w:trHeight w:val="360"/>
        </w:trPr>
        <w:tc>
          <w:tcPr>
            <w:tcW w:w="2678" w:type="dxa"/>
            <w:vAlign w:val="center"/>
          </w:tcPr>
          <w:p w14:paraId="5318B762"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PQ</w:t>
            </w:r>
          </w:p>
        </w:tc>
        <w:tc>
          <w:tcPr>
            <w:tcW w:w="6682" w:type="dxa"/>
            <w:vAlign w:val="center"/>
          </w:tcPr>
          <w:p w14:paraId="76401C6A"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Power Quality</w:t>
            </w:r>
          </w:p>
        </w:tc>
      </w:tr>
      <w:tr w:rsidR="00365339" w:rsidRPr="001E1FF2" w14:paraId="709B6FCF" w14:textId="77777777" w:rsidTr="001C2E23">
        <w:trPr>
          <w:trHeight w:val="360"/>
        </w:trPr>
        <w:tc>
          <w:tcPr>
            <w:tcW w:w="2678" w:type="dxa"/>
            <w:vAlign w:val="center"/>
          </w:tcPr>
          <w:p w14:paraId="4EB2D3C2"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PRICEM</w:t>
            </w:r>
          </w:p>
        </w:tc>
        <w:tc>
          <w:tcPr>
            <w:tcW w:w="6682" w:type="dxa"/>
            <w:vAlign w:val="center"/>
          </w:tcPr>
          <w:p w14:paraId="3D729A6F"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Profitability Reliability Incremental Cost Evaluation Model</w:t>
            </w:r>
          </w:p>
        </w:tc>
      </w:tr>
      <w:tr w:rsidR="00365339" w:rsidRPr="001E1FF2" w14:paraId="047416E3" w14:textId="77777777" w:rsidTr="001C2E23">
        <w:trPr>
          <w:trHeight w:val="360"/>
        </w:trPr>
        <w:tc>
          <w:tcPr>
            <w:tcW w:w="2678" w:type="dxa"/>
            <w:vAlign w:val="center"/>
          </w:tcPr>
          <w:p w14:paraId="161D5016"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Proposed Case</w:t>
            </w:r>
          </w:p>
        </w:tc>
        <w:tc>
          <w:tcPr>
            <w:tcW w:w="6682" w:type="dxa"/>
            <w:vAlign w:val="center"/>
          </w:tcPr>
          <w:p w14:paraId="7D962771"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Georgia Power’s recommended case for DSM</w:t>
            </w:r>
          </w:p>
        </w:tc>
      </w:tr>
      <w:tr w:rsidR="00234F49" w:rsidRPr="001E1FF2" w14:paraId="5552620B" w14:textId="77777777" w:rsidTr="001C2E23">
        <w:trPr>
          <w:trHeight w:val="360"/>
        </w:trPr>
        <w:tc>
          <w:tcPr>
            <w:tcW w:w="2678" w:type="dxa"/>
            <w:vAlign w:val="center"/>
          </w:tcPr>
          <w:p w14:paraId="7DDB8D10" w14:textId="404933DC" w:rsidR="00234F49" w:rsidRPr="001E1FF2" w:rsidRDefault="00234F4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PROVIEW</w:t>
            </w:r>
          </w:p>
        </w:tc>
        <w:tc>
          <w:tcPr>
            <w:tcW w:w="6682" w:type="dxa"/>
            <w:vAlign w:val="center"/>
          </w:tcPr>
          <w:p w14:paraId="6ABFA60E" w14:textId="3577D090" w:rsidR="00234F49" w:rsidRPr="001E1FF2" w:rsidRDefault="00234F4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 xml:space="preserve">See module description in </w:t>
            </w:r>
            <w:r w:rsidRPr="001E1FF2">
              <w:rPr>
                <w:rFonts w:asciiTheme="minorHAnsi" w:hAnsiTheme="minorHAnsi" w:cstheme="minorHAnsi"/>
                <w:bCs/>
                <w:color w:val="4D4D4D"/>
              </w:rPr>
              <w:fldChar w:fldCharType="begin"/>
            </w:r>
            <w:r w:rsidRPr="001E1FF2">
              <w:rPr>
                <w:rFonts w:asciiTheme="minorHAnsi" w:hAnsiTheme="minorHAnsi" w:cstheme="minorHAnsi"/>
                <w:bCs/>
                <w:color w:val="4D4D4D"/>
                <w:sz w:val="22"/>
              </w:rPr>
              <w:instrText xml:space="preserve"> REF _Ref533152626 \n \h </w:instrText>
            </w:r>
            <w:r w:rsidR="001718F7" w:rsidRPr="001E1FF2">
              <w:rPr>
                <w:rFonts w:asciiTheme="minorHAnsi" w:hAnsiTheme="minorHAnsi" w:cstheme="minorHAnsi"/>
                <w:bCs/>
                <w:color w:val="4D4D4D"/>
                <w:sz w:val="22"/>
              </w:rPr>
              <w:instrText xml:space="preserve"> \* MERGEFORMAT </w:instrText>
            </w:r>
            <w:r w:rsidRPr="001E1FF2">
              <w:rPr>
                <w:rFonts w:asciiTheme="minorHAnsi" w:hAnsiTheme="minorHAnsi" w:cstheme="minorHAnsi"/>
                <w:bCs/>
                <w:color w:val="4D4D4D"/>
              </w:rPr>
            </w:r>
            <w:r w:rsidRPr="001E1FF2">
              <w:rPr>
                <w:rFonts w:asciiTheme="minorHAnsi" w:hAnsiTheme="minorHAnsi" w:cstheme="minorHAnsi"/>
                <w:bCs/>
                <w:color w:val="4D4D4D"/>
              </w:rPr>
              <w:fldChar w:fldCharType="separate"/>
            </w:r>
            <w:r w:rsidR="00F33DA2">
              <w:rPr>
                <w:rFonts w:asciiTheme="minorHAnsi" w:hAnsiTheme="minorHAnsi" w:cstheme="minorHAnsi"/>
                <w:bCs/>
                <w:color w:val="4D4D4D"/>
                <w:sz w:val="22"/>
              </w:rPr>
              <w:t>ATTACHMENT A</w:t>
            </w:r>
            <w:r w:rsidRPr="001E1FF2">
              <w:rPr>
                <w:rFonts w:asciiTheme="minorHAnsi" w:hAnsiTheme="minorHAnsi" w:cstheme="minorHAnsi"/>
                <w:bCs/>
                <w:color w:val="4D4D4D"/>
              </w:rPr>
              <w:fldChar w:fldCharType="end"/>
            </w:r>
          </w:p>
        </w:tc>
      </w:tr>
      <w:tr w:rsidR="00365339" w:rsidRPr="001E1FF2" w14:paraId="18AA41AE" w14:textId="77777777" w:rsidTr="001C2E23">
        <w:trPr>
          <w:trHeight w:val="360"/>
        </w:trPr>
        <w:tc>
          <w:tcPr>
            <w:tcW w:w="2678" w:type="dxa"/>
            <w:vAlign w:val="center"/>
          </w:tcPr>
          <w:p w14:paraId="749EA740"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PT</w:t>
            </w:r>
          </w:p>
        </w:tc>
        <w:tc>
          <w:tcPr>
            <w:tcW w:w="6682" w:type="dxa"/>
            <w:vAlign w:val="center"/>
          </w:tcPr>
          <w:p w14:paraId="05834993"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Participants Test</w:t>
            </w:r>
          </w:p>
        </w:tc>
      </w:tr>
      <w:tr w:rsidR="00365339" w:rsidRPr="001E1FF2" w14:paraId="5502C7DC" w14:textId="77777777" w:rsidTr="001C2E23">
        <w:trPr>
          <w:trHeight w:val="360"/>
        </w:trPr>
        <w:tc>
          <w:tcPr>
            <w:tcW w:w="2678" w:type="dxa"/>
            <w:vAlign w:val="center"/>
          </w:tcPr>
          <w:p w14:paraId="56A6694E"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PURPA</w:t>
            </w:r>
          </w:p>
        </w:tc>
        <w:tc>
          <w:tcPr>
            <w:tcW w:w="6682" w:type="dxa"/>
            <w:vAlign w:val="center"/>
          </w:tcPr>
          <w:p w14:paraId="4922BEE9"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Public Utility Regulatory Policies Act</w:t>
            </w:r>
          </w:p>
        </w:tc>
      </w:tr>
      <w:tr w:rsidR="00365339" w:rsidRPr="001E1FF2" w14:paraId="72C99F98" w14:textId="77777777" w:rsidTr="001C2E23">
        <w:trPr>
          <w:trHeight w:val="360"/>
        </w:trPr>
        <w:tc>
          <w:tcPr>
            <w:tcW w:w="2678" w:type="dxa"/>
            <w:vAlign w:val="center"/>
          </w:tcPr>
          <w:p w14:paraId="26D4B19E" w14:textId="5EA28DA8"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PV</w:t>
            </w:r>
          </w:p>
        </w:tc>
        <w:tc>
          <w:tcPr>
            <w:tcW w:w="6682" w:type="dxa"/>
            <w:vAlign w:val="center"/>
          </w:tcPr>
          <w:p w14:paraId="48AEBE5C" w14:textId="34583CF4" w:rsidR="00365339" w:rsidRPr="001E1FF2" w:rsidRDefault="0036533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Photovoltaic</w:t>
            </w:r>
          </w:p>
        </w:tc>
      </w:tr>
      <w:tr w:rsidR="00365339" w:rsidRPr="001E1FF2" w14:paraId="6E3118EC" w14:textId="77777777" w:rsidTr="001C2E23">
        <w:trPr>
          <w:trHeight w:val="360"/>
        </w:trPr>
        <w:tc>
          <w:tcPr>
            <w:tcW w:w="2678" w:type="dxa"/>
            <w:vAlign w:val="center"/>
          </w:tcPr>
          <w:p w14:paraId="66BA2D3E"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QF</w:t>
            </w:r>
          </w:p>
        </w:tc>
        <w:tc>
          <w:tcPr>
            <w:tcW w:w="6682" w:type="dxa"/>
            <w:vAlign w:val="center"/>
          </w:tcPr>
          <w:p w14:paraId="0F669A10"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Qualifying Facility</w:t>
            </w:r>
          </w:p>
        </w:tc>
      </w:tr>
      <w:tr w:rsidR="00234F49" w:rsidRPr="001E1FF2" w14:paraId="2F6ADD1A" w14:textId="77777777" w:rsidTr="001C2E23">
        <w:trPr>
          <w:trHeight w:val="360"/>
        </w:trPr>
        <w:tc>
          <w:tcPr>
            <w:tcW w:w="2678" w:type="dxa"/>
            <w:vAlign w:val="center"/>
          </w:tcPr>
          <w:p w14:paraId="6A016F4D" w14:textId="3C3B3302" w:rsidR="00234F49" w:rsidRPr="001E1FF2" w:rsidRDefault="00234F4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R&amp;D</w:t>
            </w:r>
          </w:p>
        </w:tc>
        <w:tc>
          <w:tcPr>
            <w:tcW w:w="6682" w:type="dxa"/>
            <w:vAlign w:val="center"/>
          </w:tcPr>
          <w:p w14:paraId="5417C845" w14:textId="6E4A8416" w:rsidR="00234F49" w:rsidRPr="001E1FF2" w:rsidRDefault="00234F4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Research and development</w:t>
            </w:r>
          </w:p>
        </w:tc>
      </w:tr>
      <w:tr w:rsidR="001204DD" w:rsidRPr="001E1FF2" w14:paraId="4580E899" w14:textId="77777777" w:rsidTr="001C2E23">
        <w:trPr>
          <w:trHeight w:val="360"/>
        </w:trPr>
        <w:tc>
          <w:tcPr>
            <w:tcW w:w="2678" w:type="dxa"/>
            <w:vAlign w:val="center"/>
          </w:tcPr>
          <w:p w14:paraId="40DE07C2" w14:textId="478AFB98" w:rsidR="001204DD" w:rsidRPr="001E1FF2" w:rsidRDefault="001204DD"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The Ray</w:t>
            </w:r>
          </w:p>
        </w:tc>
        <w:tc>
          <w:tcPr>
            <w:tcW w:w="6682" w:type="dxa"/>
            <w:vAlign w:val="center"/>
          </w:tcPr>
          <w:p w14:paraId="20DC7BAA" w14:textId="5A84F24D" w:rsidR="001204DD" w:rsidRPr="001E1FF2" w:rsidRDefault="001204DD"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MZC Foundation d/b/a The Ray</w:t>
            </w:r>
          </w:p>
        </w:tc>
      </w:tr>
      <w:tr w:rsidR="00365339" w:rsidRPr="001E1FF2" w14:paraId="6C334906" w14:textId="77777777" w:rsidTr="001C2E23">
        <w:trPr>
          <w:trHeight w:val="360"/>
        </w:trPr>
        <w:tc>
          <w:tcPr>
            <w:tcW w:w="2678" w:type="dxa"/>
            <w:vAlign w:val="center"/>
          </w:tcPr>
          <w:p w14:paraId="6C961004"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RCB Framework</w:t>
            </w:r>
          </w:p>
        </w:tc>
        <w:tc>
          <w:tcPr>
            <w:tcW w:w="6682" w:type="dxa"/>
            <w:vAlign w:val="center"/>
          </w:tcPr>
          <w:p w14:paraId="53F15413"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Renewable Cost Benefit Framework or “A Framework for Determining The Costs and Benefits of Renewable Resources in Georgia”</w:t>
            </w:r>
          </w:p>
        </w:tc>
      </w:tr>
      <w:tr w:rsidR="00365339" w:rsidRPr="001E1FF2" w14:paraId="214DEE88" w14:textId="77777777" w:rsidTr="001C2E23">
        <w:trPr>
          <w:trHeight w:val="360"/>
        </w:trPr>
        <w:tc>
          <w:tcPr>
            <w:tcW w:w="2678" w:type="dxa"/>
            <w:vAlign w:val="center"/>
          </w:tcPr>
          <w:p w14:paraId="06854925"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REC</w:t>
            </w:r>
          </w:p>
        </w:tc>
        <w:tc>
          <w:tcPr>
            <w:tcW w:w="6682" w:type="dxa"/>
            <w:vAlign w:val="center"/>
          </w:tcPr>
          <w:p w14:paraId="4253BB86"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Renewable Energy Credit</w:t>
            </w:r>
          </w:p>
        </w:tc>
      </w:tr>
      <w:tr w:rsidR="00365339" w:rsidRPr="001E1FF2" w14:paraId="0F0C953B" w14:textId="77777777" w:rsidTr="001C2E23">
        <w:trPr>
          <w:trHeight w:val="360"/>
        </w:trPr>
        <w:tc>
          <w:tcPr>
            <w:tcW w:w="2678" w:type="dxa"/>
            <w:vAlign w:val="center"/>
          </w:tcPr>
          <w:p w14:paraId="45C48BA2"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REDI</w:t>
            </w:r>
          </w:p>
        </w:tc>
        <w:tc>
          <w:tcPr>
            <w:tcW w:w="6682" w:type="dxa"/>
            <w:vAlign w:val="center"/>
          </w:tcPr>
          <w:p w14:paraId="202D907B"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Renewable Energy Development Initiative</w:t>
            </w:r>
          </w:p>
        </w:tc>
      </w:tr>
      <w:tr w:rsidR="00365339" w:rsidRPr="001E1FF2" w14:paraId="65E91D5E" w14:textId="77777777" w:rsidTr="001C2E23">
        <w:trPr>
          <w:trHeight w:val="360"/>
        </w:trPr>
        <w:tc>
          <w:tcPr>
            <w:tcW w:w="2678" w:type="dxa"/>
            <w:vAlign w:val="center"/>
          </w:tcPr>
          <w:p w14:paraId="70C5A40A"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Reserve Margin Study</w:t>
            </w:r>
          </w:p>
        </w:tc>
        <w:tc>
          <w:tcPr>
            <w:tcW w:w="6682" w:type="dxa"/>
            <w:vAlign w:val="center"/>
          </w:tcPr>
          <w:p w14:paraId="693308E5"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2018 Reserve Margin Study</w:t>
            </w:r>
          </w:p>
        </w:tc>
      </w:tr>
      <w:tr w:rsidR="004677D9" w:rsidRPr="001E1FF2" w14:paraId="7F665445" w14:textId="77777777" w:rsidTr="001C2E23">
        <w:trPr>
          <w:trHeight w:val="360"/>
        </w:trPr>
        <w:tc>
          <w:tcPr>
            <w:tcW w:w="2678" w:type="dxa"/>
            <w:vAlign w:val="center"/>
          </w:tcPr>
          <w:p w14:paraId="445C9209" w14:textId="190B8E43" w:rsidR="004677D9" w:rsidRPr="001E1FF2" w:rsidRDefault="004677D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Reserve Sharing</w:t>
            </w:r>
          </w:p>
        </w:tc>
        <w:tc>
          <w:tcPr>
            <w:tcW w:w="6682" w:type="dxa"/>
            <w:vAlign w:val="center"/>
          </w:tcPr>
          <w:p w14:paraId="2E5B4B59" w14:textId="3F7FDE03" w:rsidR="004677D9" w:rsidRPr="001E1FF2" w:rsidRDefault="004677D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sz w:val="22"/>
              </w:rPr>
              <w:t>IIC capacity provisions that provide for sharing of temporary generating capacity surpluses and deficits among the Operating Companies</w:t>
            </w:r>
          </w:p>
        </w:tc>
      </w:tr>
      <w:tr w:rsidR="00365339" w:rsidRPr="001E1FF2" w14:paraId="415416BD" w14:textId="77777777" w:rsidTr="001C2E23">
        <w:trPr>
          <w:trHeight w:val="360"/>
        </w:trPr>
        <w:tc>
          <w:tcPr>
            <w:tcW w:w="2678" w:type="dxa"/>
            <w:vAlign w:val="center"/>
          </w:tcPr>
          <w:p w14:paraId="3B1899BB"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Retail OpCos</w:t>
            </w:r>
          </w:p>
        </w:tc>
        <w:tc>
          <w:tcPr>
            <w:tcW w:w="6682" w:type="dxa"/>
            <w:vAlign w:val="center"/>
          </w:tcPr>
          <w:p w14:paraId="39CE7B11"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Georgia Power Company, Alabama Power Company</w:t>
            </w:r>
            <w:r w:rsidRPr="001E1FF2">
              <w:rPr>
                <w:rFonts w:asciiTheme="minorHAnsi" w:hAnsiTheme="minorHAnsi" w:cstheme="minorHAnsi"/>
                <w:bCs/>
                <w:sz w:val="22"/>
              </w:rPr>
              <w:t>, Gulf Power Company, and Mississippi Power Company</w:t>
            </w:r>
          </w:p>
        </w:tc>
      </w:tr>
      <w:tr w:rsidR="00365339" w:rsidRPr="001E1FF2" w14:paraId="1B63F958" w14:textId="77777777" w:rsidTr="001C2E23">
        <w:trPr>
          <w:trHeight w:val="360"/>
        </w:trPr>
        <w:tc>
          <w:tcPr>
            <w:tcW w:w="2678" w:type="dxa"/>
            <w:vAlign w:val="center"/>
          </w:tcPr>
          <w:p w14:paraId="51F92926"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RFP</w:t>
            </w:r>
          </w:p>
        </w:tc>
        <w:tc>
          <w:tcPr>
            <w:tcW w:w="6682" w:type="dxa"/>
            <w:vAlign w:val="center"/>
          </w:tcPr>
          <w:p w14:paraId="5EAC8480"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Request for Proposal</w:t>
            </w:r>
          </w:p>
        </w:tc>
      </w:tr>
      <w:tr w:rsidR="00365339" w:rsidRPr="001E1FF2" w14:paraId="080D9931" w14:textId="77777777" w:rsidTr="001C2E23">
        <w:trPr>
          <w:trHeight w:val="360"/>
        </w:trPr>
        <w:tc>
          <w:tcPr>
            <w:tcW w:w="2678" w:type="dxa"/>
            <w:vAlign w:val="center"/>
          </w:tcPr>
          <w:p w14:paraId="65616C73"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RIM</w:t>
            </w:r>
          </w:p>
        </w:tc>
        <w:tc>
          <w:tcPr>
            <w:tcW w:w="6682" w:type="dxa"/>
            <w:vAlign w:val="center"/>
          </w:tcPr>
          <w:p w14:paraId="658A5C8E"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Rate Impact Measure</w:t>
            </w:r>
          </w:p>
        </w:tc>
      </w:tr>
      <w:tr w:rsidR="00365339" w:rsidRPr="001E1FF2" w14:paraId="47925690" w14:textId="77777777" w:rsidTr="001C2E23">
        <w:trPr>
          <w:trHeight w:val="360"/>
        </w:trPr>
        <w:tc>
          <w:tcPr>
            <w:tcW w:w="2678" w:type="dxa"/>
            <w:vAlign w:val="center"/>
          </w:tcPr>
          <w:p w14:paraId="0CBAABF8"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RNR</w:t>
            </w:r>
          </w:p>
        </w:tc>
        <w:tc>
          <w:tcPr>
            <w:tcW w:w="6682" w:type="dxa"/>
            <w:vAlign w:val="center"/>
          </w:tcPr>
          <w:p w14:paraId="7064014A"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Renewable and Nonrenewable Resources</w:t>
            </w:r>
          </w:p>
        </w:tc>
      </w:tr>
      <w:tr w:rsidR="00365339" w:rsidRPr="001E1FF2" w14:paraId="22ED8815" w14:textId="77777777" w:rsidTr="001C2E23">
        <w:trPr>
          <w:trHeight w:val="360"/>
        </w:trPr>
        <w:tc>
          <w:tcPr>
            <w:tcW w:w="2678" w:type="dxa"/>
            <w:vAlign w:val="center"/>
          </w:tcPr>
          <w:p w14:paraId="0AEFFC02" w14:textId="7B5DBCDE"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RPS</w:t>
            </w:r>
          </w:p>
        </w:tc>
        <w:tc>
          <w:tcPr>
            <w:tcW w:w="6682" w:type="dxa"/>
            <w:vAlign w:val="center"/>
          </w:tcPr>
          <w:p w14:paraId="33A38336" w14:textId="777BBDEB" w:rsidR="00365339" w:rsidRPr="001E1FF2" w:rsidRDefault="0036533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Renewable Portfolio Standard</w:t>
            </w:r>
          </w:p>
        </w:tc>
      </w:tr>
      <w:tr w:rsidR="00365339" w:rsidRPr="001E1FF2" w14:paraId="7BD9A272" w14:textId="77777777" w:rsidTr="001C2E23">
        <w:trPr>
          <w:trHeight w:val="360"/>
        </w:trPr>
        <w:tc>
          <w:tcPr>
            <w:tcW w:w="2678" w:type="dxa"/>
            <w:vAlign w:val="center"/>
          </w:tcPr>
          <w:p w14:paraId="6B631FF5" w14:textId="00843DA6"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RSDG</w:t>
            </w:r>
          </w:p>
        </w:tc>
        <w:tc>
          <w:tcPr>
            <w:tcW w:w="6682" w:type="dxa"/>
            <w:vAlign w:val="center"/>
          </w:tcPr>
          <w:p w14:paraId="54CDF26A" w14:textId="0D81B52C" w:rsidR="00365339" w:rsidRPr="001E1FF2" w:rsidRDefault="0036533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Renewables, Storage, and Distributed Generation</w:t>
            </w:r>
          </w:p>
        </w:tc>
      </w:tr>
      <w:tr w:rsidR="00365339" w:rsidRPr="001E1FF2" w14:paraId="37AFAA08" w14:textId="77777777" w:rsidTr="001C2E23">
        <w:trPr>
          <w:trHeight w:val="360"/>
        </w:trPr>
        <w:tc>
          <w:tcPr>
            <w:tcW w:w="2678" w:type="dxa"/>
            <w:vAlign w:val="center"/>
          </w:tcPr>
          <w:p w14:paraId="540FB4B1"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SAM</w:t>
            </w:r>
          </w:p>
        </w:tc>
        <w:tc>
          <w:tcPr>
            <w:tcW w:w="6682" w:type="dxa"/>
            <w:vAlign w:val="center"/>
          </w:tcPr>
          <w:p w14:paraId="7993D718"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Standard Analysis Model</w:t>
            </w:r>
          </w:p>
        </w:tc>
      </w:tr>
      <w:tr w:rsidR="007614D2" w:rsidRPr="001E1FF2" w14:paraId="055A044C" w14:textId="77777777" w:rsidTr="001C2E23">
        <w:trPr>
          <w:trHeight w:val="360"/>
        </w:trPr>
        <w:tc>
          <w:tcPr>
            <w:tcW w:w="2678" w:type="dxa"/>
            <w:vAlign w:val="center"/>
          </w:tcPr>
          <w:p w14:paraId="19DE6926" w14:textId="78E9818D" w:rsidR="007614D2" w:rsidRPr="007614D2" w:rsidRDefault="007614D2" w:rsidP="001E1FF2">
            <w:pPr>
              <w:spacing w:after="0" w:line="240" w:lineRule="auto"/>
              <w:jc w:val="left"/>
              <w:rPr>
                <w:rFonts w:asciiTheme="minorHAnsi" w:hAnsiTheme="minorHAnsi" w:cstheme="minorHAnsi"/>
                <w:b/>
                <w:bCs/>
                <w:color w:val="4D4D4D"/>
                <w:sz w:val="22"/>
              </w:rPr>
            </w:pPr>
            <w:r w:rsidRPr="007614D2">
              <w:rPr>
                <w:rFonts w:asciiTheme="minorHAnsi" w:hAnsiTheme="minorHAnsi" w:cstheme="minorHAnsi"/>
                <w:b/>
                <w:bCs/>
                <w:color w:val="4D4D4D"/>
                <w:sz w:val="22"/>
              </w:rPr>
              <w:t>SCADA</w:t>
            </w:r>
          </w:p>
        </w:tc>
        <w:tc>
          <w:tcPr>
            <w:tcW w:w="6682" w:type="dxa"/>
            <w:vAlign w:val="center"/>
          </w:tcPr>
          <w:p w14:paraId="0474868A" w14:textId="7C9AFBF8" w:rsidR="007614D2" w:rsidRPr="007614D2" w:rsidRDefault="007614D2" w:rsidP="001E1FF2">
            <w:pPr>
              <w:spacing w:after="0" w:line="240" w:lineRule="auto"/>
              <w:jc w:val="left"/>
              <w:rPr>
                <w:rFonts w:asciiTheme="minorHAnsi" w:hAnsiTheme="minorHAnsi" w:cstheme="minorHAnsi"/>
                <w:bCs/>
                <w:color w:val="4D4D4D"/>
                <w:sz w:val="22"/>
              </w:rPr>
            </w:pPr>
            <w:r w:rsidRPr="007614D2">
              <w:rPr>
                <w:sz w:val="22"/>
              </w:rPr>
              <w:t>Supervisory Control and Data Acquisition</w:t>
            </w:r>
          </w:p>
        </w:tc>
      </w:tr>
      <w:tr w:rsidR="005517AF" w:rsidRPr="001E1FF2" w14:paraId="5B50F0A0" w14:textId="77777777" w:rsidTr="001C2E23">
        <w:trPr>
          <w:trHeight w:val="360"/>
        </w:trPr>
        <w:tc>
          <w:tcPr>
            <w:tcW w:w="2678" w:type="dxa"/>
            <w:vAlign w:val="center"/>
          </w:tcPr>
          <w:p w14:paraId="7ACE8205" w14:textId="438ABB6E" w:rsidR="005517AF" w:rsidRPr="005517AF" w:rsidRDefault="005517AF" w:rsidP="001E1FF2">
            <w:pPr>
              <w:spacing w:after="0" w:line="240" w:lineRule="auto"/>
              <w:jc w:val="left"/>
              <w:rPr>
                <w:rFonts w:asciiTheme="minorHAnsi" w:hAnsiTheme="minorHAnsi" w:cstheme="minorHAnsi"/>
                <w:b/>
                <w:bCs/>
                <w:color w:val="4D4D4D"/>
                <w:sz w:val="22"/>
              </w:rPr>
            </w:pPr>
            <w:r w:rsidRPr="005517AF">
              <w:rPr>
                <w:rFonts w:asciiTheme="minorHAnsi" w:hAnsiTheme="minorHAnsi" w:cstheme="minorHAnsi"/>
                <w:b/>
                <w:bCs/>
                <w:color w:val="4D4D4D"/>
                <w:sz w:val="22"/>
              </w:rPr>
              <w:t>SCR</w:t>
            </w:r>
          </w:p>
        </w:tc>
        <w:tc>
          <w:tcPr>
            <w:tcW w:w="6682" w:type="dxa"/>
            <w:vAlign w:val="center"/>
          </w:tcPr>
          <w:p w14:paraId="5F5F0508" w14:textId="2B8B8C3B" w:rsidR="005517AF" w:rsidRPr="005517AF" w:rsidRDefault="005517AF" w:rsidP="001E1FF2">
            <w:pPr>
              <w:spacing w:after="0" w:line="240" w:lineRule="auto"/>
              <w:jc w:val="left"/>
              <w:rPr>
                <w:rFonts w:asciiTheme="minorHAnsi" w:hAnsiTheme="minorHAnsi" w:cstheme="minorHAnsi"/>
                <w:bCs/>
                <w:color w:val="4D4D4D"/>
                <w:sz w:val="22"/>
              </w:rPr>
            </w:pPr>
            <w:r w:rsidRPr="005517AF">
              <w:rPr>
                <w:rFonts w:asciiTheme="minorHAnsi" w:hAnsiTheme="minorHAnsi" w:cstheme="minorHAnsi"/>
                <w:bCs/>
                <w:color w:val="4D4D4D"/>
                <w:sz w:val="22"/>
              </w:rPr>
              <w:t>Selective Catalytic Reduction</w:t>
            </w:r>
          </w:p>
        </w:tc>
      </w:tr>
      <w:tr w:rsidR="00365339" w:rsidRPr="001E1FF2" w14:paraId="479D2E56" w14:textId="77777777" w:rsidTr="001C2E23">
        <w:trPr>
          <w:trHeight w:val="360"/>
        </w:trPr>
        <w:tc>
          <w:tcPr>
            <w:tcW w:w="2678" w:type="dxa"/>
            <w:vAlign w:val="center"/>
          </w:tcPr>
          <w:p w14:paraId="691AC78D"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SCS</w:t>
            </w:r>
          </w:p>
        </w:tc>
        <w:tc>
          <w:tcPr>
            <w:tcW w:w="6682" w:type="dxa"/>
            <w:vAlign w:val="center"/>
          </w:tcPr>
          <w:p w14:paraId="43665379"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Southern Company Services</w:t>
            </w:r>
          </w:p>
        </w:tc>
      </w:tr>
      <w:tr w:rsidR="00234F49" w:rsidRPr="001E1FF2" w14:paraId="73351ADF" w14:textId="77777777" w:rsidTr="001C2E23">
        <w:trPr>
          <w:trHeight w:val="360"/>
        </w:trPr>
        <w:tc>
          <w:tcPr>
            <w:tcW w:w="2678" w:type="dxa"/>
            <w:vAlign w:val="center"/>
          </w:tcPr>
          <w:p w14:paraId="1FEEFD95" w14:textId="3995ED0E" w:rsidR="00234F49" w:rsidRPr="001E1FF2" w:rsidRDefault="00234F4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SCS R&amp;D</w:t>
            </w:r>
          </w:p>
        </w:tc>
        <w:tc>
          <w:tcPr>
            <w:tcW w:w="6682" w:type="dxa"/>
            <w:vAlign w:val="center"/>
          </w:tcPr>
          <w:p w14:paraId="2E8303CA" w14:textId="6F8B878A" w:rsidR="00234F49" w:rsidRPr="001E1FF2" w:rsidRDefault="00234F4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Southern Company Services R&amp;D department</w:t>
            </w:r>
          </w:p>
        </w:tc>
      </w:tr>
      <w:tr w:rsidR="00365339" w:rsidRPr="001E1FF2" w14:paraId="397A88E3" w14:textId="77777777" w:rsidTr="001C2E23">
        <w:trPr>
          <w:trHeight w:val="360"/>
        </w:trPr>
        <w:tc>
          <w:tcPr>
            <w:tcW w:w="2678" w:type="dxa"/>
            <w:vAlign w:val="center"/>
          </w:tcPr>
          <w:p w14:paraId="740769DD"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SCT</w:t>
            </w:r>
          </w:p>
        </w:tc>
        <w:tc>
          <w:tcPr>
            <w:tcW w:w="6682" w:type="dxa"/>
            <w:vAlign w:val="center"/>
          </w:tcPr>
          <w:p w14:paraId="5B752E35"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Societal Cost Test</w:t>
            </w:r>
          </w:p>
        </w:tc>
      </w:tr>
      <w:tr w:rsidR="00365339" w:rsidRPr="001E1FF2" w14:paraId="08351629" w14:textId="77777777" w:rsidTr="001C2E23">
        <w:trPr>
          <w:trHeight w:val="360"/>
        </w:trPr>
        <w:tc>
          <w:tcPr>
            <w:tcW w:w="2678" w:type="dxa"/>
            <w:vAlign w:val="center"/>
          </w:tcPr>
          <w:p w14:paraId="2CE239F1"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SEIA</w:t>
            </w:r>
          </w:p>
        </w:tc>
        <w:tc>
          <w:tcPr>
            <w:tcW w:w="6682" w:type="dxa"/>
            <w:vAlign w:val="center"/>
          </w:tcPr>
          <w:p w14:paraId="7DD5A558"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Solar Energy Industries Association</w:t>
            </w:r>
          </w:p>
        </w:tc>
      </w:tr>
      <w:tr w:rsidR="00365339" w:rsidRPr="001E1FF2" w14:paraId="039333CF" w14:textId="77777777" w:rsidTr="001C2E23">
        <w:trPr>
          <w:trHeight w:val="360"/>
        </w:trPr>
        <w:tc>
          <w:tcPr>
            <w:tcW w:w="2678" w:type="dxa"/>
            <w:vAlign w:val="center"/>
          </w:tcPr>
          <w:p w14:paraId="779FD9AA"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SEPA</w:t>
            </w:r>
          </w:p>
        </w:tc>
        <w:tc>
          <w:tcPr>
            <w:tcW w:w="6682" w:type="dxa"/>
            <w:vAlign w:val="center"/>
          </w:tcPr>
          <w:p w14:paraId="4A6E467E" w14:textId="0EA2FE36"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 xml:space="preserve">Smart Electric Power </w:t>
            </w:r>
            <w:r w:rsidR="009F4193">
              <w:rPr>
                <w:rFonts w:asciiTheme="minorHAnsi" w:hAnsiTheme="minorHAnsi" w:cstheme="minorHAnsi"/>
                <w:bCs/>
                <w:color w:val="4D4D4D"/>
                <w:sz w:val="22"/>
              </w:rPr>
              <w:t xml:space="preserve">Alliance </w:t>
            </w:r>
          </w:p>
        </w:tc>
      </w:tr>
      <w:tr w:rsidR="00365339" w:rsidRPr="001E1FF2" w14:paraId="49814F3E" w14:textId="77777777" w:rsidTr="001C2E23">
        <w:trPr>
          <w:trHeight w:val="360"/>
        </w:trPr>
        <w:tc>
          <w:tcPr>
            <w:tcW w:w="2678" w:type="dxa"/>
            <w:vAlign w:val="center"/>
          </w:tcPr>
          <w:p w14:paraId="41372C1E"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SERC</w:t>
            </w:r>
          </w:p>
        </w:tc>
        <w:tc>
          <w:tcPr>
            <w:tcW w:w="6682" w:type="dxa"/>
            <w:vAlign w:val="center"/>
          </w:tcPr>
          <w:p w14:paraId="7CA46345"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Southeastern Electric Reliability Council</w:t>
            </w:r>
          </w:p>
        </w:tc>
      </w:tr>
      <w:tr w:rsidR="00365339" w:rsidRPr="001E1FF2" w14:paraId="3498BD96" w14:textId="77777777" w:rsidTr="001C2E23">
        <w:trPr>
          <w:trHeight w:val="360"/>
        </w:trPr>
        <w:tc>
          <w:tcPr>
            <w:tcW w:w="2678" w:type="dxa"/>
            <w:vAlign w:val="center"/>
          </w:tcPr>
          <w:p w14:paraId="00C9DD10"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SERVM</w:t>
            </w:r>
          </w:p>
        </w:tc>
        <w:tc>
          <w:tcPr>
            <w:tcW w:w="6682" w:type="dxa"/>
            <w:vAlign w:val="center"/>
          </w:tcPr>
          <w:p w14:paraId="5B3252A0"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Strategic Energy Risk Evaluation Model</w:t>
            </w:r>
          </w:p>
        </w:tc>
      </w:tr>
      <w:tr w:rsidR="00365339" w:rsidRPr="001E1FF2" w14:paraId="5DB8E33B" w14:textId="77777777" w:rsidTr="001C2E23">
        <w:trPr>
          <w:trHeight w:val="360"/>
        </w:trPr>
        <w:tc>
          <w:tcPr>
            <w:tcW w:w="2678" w:type="dxa"/>
            <w:vAlign w:val="center"/>
          </w:tcPr>
          <w:p w14:paraId="409A9B17"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SMR</w:t>
            </w:r>
          </w:p>
        </w:tc>
        <w:tc>
          <w:tcPr>
            <w:tcW w:w="6682" w:type="dxa"/>
            <w:vAlign w:val="center"/>
          </w:tcPr>
          <w:p w14:paraId="063C98A7" w14:textId="4F3DEF50"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Small Modular Reactor</w:t>
            </w:r>
          </w:p>
        </w:tc>
      </w:tr>
      <w:tr w:rsidR="00365339" w:rsidRPr="001E1FF2" w14:paraId="682385F8" w14:textId="77777777" w:rsidTr="001C2E23">
        <w:trPr>
          <w:trHeight w:val="360"/>
        </w:trPr>
        <w:tc>
          <w:tcPr>
            <w:tcW w:w="2678" w:type="dxa"/>
            <w:vAlign w:val="center"/>
          </w:tcPr>
          <w:p w14:paraId="18F240DA"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SO</w:t>
            </w:r>
            <w:r w:rsidRPr="001E1FF2">
              <w:rPr>
                <w:rFonts w:asciiTheme="minorHAnsi" w:hAnsiTheme="minorHAnsi" w:cstheme="minorHAnsi"/>
                <w:b/>
                <w:bCs/>
                <w:color w:val="4D4D4D"/>
                <w:sz w:val="22"/>
                <w:vertAlign w:val="subscript"/>
              </w:rPr>
              <w:t>2</w:t>
            </w:r>
          </w:p>
        </w:tc>
        <w:tc>
          <w:tcPr>
            <w:tcW w:w="6682" w:type="dxa"/>
            <w:vAlign w:val="center"/>
          </w:tcPr>
          <w:p w14:paraId="20AEACAF"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Sulfur Dioxide</w:t>
            </w:r>
          </w:p>
        </w:tc>
      </w:tr>
      <w:tr w:rsidR="00365339" w:rsidRPr="001E1FF2" w14:paraId="0F9EA805" w14:textId="77777777" w:rsidTr="001C2E23">
        <w:trPr>
          <w:trHeight w:val="360"/>
        </w:trPr>
        <w:tc>
          <w:tcPr>
            <w:tcW w:w="2678" w:type="dxa"/>
            <w:vAlign w:val="center"/>
          </w:tcPr>
          <w:p w14:paraId="6597761A" w14:textId="5EF28D20"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SO</w:t>
            </w:r>
            <w:r w:rsidRPr="001E1FF2">
              <w:rPr>
                <w:rFonts w:asciiTheme="minorHAnsi" w:hAnsiTheme="minorHAnsi" w:cstheme="minorHAnsi"/>
                <w:b/>
                <w:bCs/>
                <w:color w:val="4D4D4D"/>
                <w:sz w:val="22"/>
                <w:vertAlign w:val="subscript"/>
              </w:rPr>
              <w:t>3</w:t>
            </w:r>
          </w:p>
        </w:tc>
        <w:tc>
          <w:tcPr>
            <w:tcW w:w="6682" w:type="dxa"/>
            <w:vAlign w:val="center"/>
          </w:tcPr>
          <w:p w14:paraId="7E9AB1A9" w14:textId="5741572E" w:rsidR="00365339" w:rsidRPr="001E1FF2" w:rsidRDefault="0036533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Sulfur Trioxide</w:t>
            </w:r>
          </w:p>
        </w:tc>
      </w:tr>
      <w:tr w:rsidR="00365339" w:rsidRPr="001E1FF2" w14:paraId="26C4C0C9" w14:textId="77777777" w:rsidTr="001C2E23">
        <w:trPr>
          <w:trHeight w:val="360"/>
        </w:trPr>
        <w:tc>
          <w:tcPr>
            <w:tcW w:w="2678" w:type="dxa"/>
            <w:vAlign w:val="center"/>
          </w:tcPr>
          <w:p w14:paraId="7732E8B3" w14:textId="2FC79462"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SODAR</w:t>
            </w:r>
          </w:p>
        </w:tc>
        <w:tc>
          <w:tcPr>
            <w:tcW w:w="6682" w:type="dxa"/>
            <w:vAlign w:val="center"/>
          </w:tcPr>
          <w:p w14:paraId="77161F89" w14:textId="270878F0" w:rsidR="00365339" w:rsidRPr="001E1FF2" w:rsidRDefault="0036533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Sonic Detection and Ranging</w:t>
            </w:r>
          </w:p>
        </w:tc>
      </w:tr>
      <w:tr w:rsidR="00365339" w:rsidRPr="001E1FF2" w14:paraId="5E342F2E" w14:textId="77777777" w:rsidTr="001C2E23">
        <w:trPr>
          <w:trHeight w:val="360"/>
        </w:trPr>
        <w:tc>
          <w:tcPr>
            <w:tcW w:w="2678" w:type="dxa"/>
            <w:vAlign w:val="center"/>
          </w:tcPr>
          <w:p w14:paraId="76693C5D" w14:textId="29AF7DD3"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SO</w:t>
            </w:r>
            <w:r w:rsidRPr="001E1FF2">
              <w:rPr>
                <w:rFonts w:asciiTheme="minorHAnsi" w:hAnsiTheme="minorHAnsi" w:cstheme="minorHAnsi"/>
                <w:b/>
                <w:bCs/>
                <w:color w:val="4D4D4D"/>
                <w:sz w:val="22"/>
                <w:vertAlign w:val="subscript"/>
              </w:rPr>
              <w:t>X</w:t>
            </w:r>
          </w:p>
        </w:tc>
        <w:tc>
          <w:tcPr>
            <w:tcW w:w="6682" w:type="dxa"/>
            <w:vAlign w:val="center"/>
          </w:tcPr>
          <w:p w14:paraId="3E3DA6C8" w14:textId="4D09F7FF" w:rsidR="00365339" w:rsidRPr="001E1FF2" w:rsidRDefault="0036533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Sulfur Oxide</w:t>
            </w:r>
          </w:p>
        </w:tc>
      </w:tr>
      <w:tr w:rsidR="00365339" w:rsidRPr="001E1FF2" w14:paraId="33B85F1F" w14:textId="77777777" w:rsidTr="001C2E23">
        <w:trPr>
          <w:trHeight w:val="360"/>
        </w:trPr>
        <w:tc>
          <w:tcPr>
            <w:tcW w:w="2678" w:type="dxa"/>
            <w:vAlign w:val="center"/>
          </w:tcPr>
          <w:p w14:paraId="35D7777A"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SOFC</w:t>
            </w:r>
          </w:p>
        </w:tc>
        <w:tc>
          <w:tcPr>
            <w:tcW w:w="6682" w:type="dxa"/>
            <w:vAlign w:val="center"/>
          </w:tcPr>
          <w:p w14:paraId="260F4AE1"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Solid Oxide Fuel Cell</w:t>
            </w:r>
          </w:p>
        </w:tc>
      </w:tr>
      <w:tr w:rsidR="00365339" w:rsidRPr="001E1FF2" w14:paraId="64C98DA0" w14:textId="77777777" w:rsidTr="001C2E23">
        <w:trPr>
          <w:trHeight w:val="360"/>
        </w:trPr>
        <w:tc>
          <w:tcPr>
            <w:tcW w:w="2678" w:type="dxa"/>
            <w:vAlign w:val="center"/>
          </w:tcPr>
          <w:p w14:paraId="4452D089" w14:textId="1876F6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SSRC</w:t>
            </w:r>
          </w:p>
        </w:tc>
        <w:tc>
          <w:tcPr>
            <w:tcW w:w="6682" w:type="dxa"/>
            <w:vAlign w:val="center"/>
          </w:tcPr>
          <w:p w14:paraId="3816FBE0" w14:textId="045FC78E" w:rsidR="00365339" w:rsidRPr="001E1FF2" w:rsidRDefault="0036533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Southeastern Solar Research Center</w:t>
            </w:r>
          </w:p>
        </w:tc>
      </w:tr>
      <w:tr w:rsidR="00234F49" w:rsidRPr="001E1FF2" w14:paraId="64C48618" w14:textId="77777777" w:rsidTr="001C2E23">
        <w:trPr>
          <w:trHeight w:val="360"/>
        </w:trPr>
        <w:tc>
          <w:tcPr>
            <w:tcW w:w="2678" w:type="dxa"/>
            <w:vAlign w:val="center"/>
          </w:tcPr>
          <w:p w14:paraId="0FDBF04B" w14:textId="0AC5FCBD" w:rsidR="00234F49" w:rsidRPr="001E1FF2" w:rsidRDefault="00234F4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Strategist</w:t>
            </w:r>
          </w:p>
        </w:tc>
        <w:tc>
          <w:tcPr>
            <w:tcW w:w="6682" w:type="dxa"/>
            <w:vAlign w:val="center"/>
          </w:tcPr>
          <w:p w14:paraId="039E2380" w14:textId="3245F2F2" w:rsidR="00234F49" w:rsidRPr="001E1FF2" w:rsidRDefault="00234F49"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 xml:space="preserve">See model description in </w:t>
            </w:r>
            <w:r w:rsidRPr="001E1FF2">
              <w:rPr>
                <w:rFonts w:asciiTheme="minorHAnsi" w:hAnsiTheme="minorHAnsi" w:cstheme="minorHAnsi"/>
                <w:bCs/>
                <w:color w:val="4D4D4D"/>
              </w:rPr>
              <w:fldChar w:fldCharType="begin"/>
            </w:r>
            <w:r w:rsidRPr="001E1FF2">
              <w:rPr>
                <w:rFonts w:asciiTheme="minorHAnsi" w:hAnsiTheme="minorHAnsi" w:cstheme="minorHAnsi"/>
                <w:bCs/>
                <w:color w:val="4D4D4D"/>
                <w:sz w:val="22"/>
              </w:rPr>
              <w:instrText xml:space="preserve"> REF _Ref533152626 \n \h </w:instrText>
            </w:r>
            <w:r w:rsidR="001718F7" w:rsidRPr="001E1FF2">
              <w:rPr>
                <w:rFonts w:asciiTheme="minorHAnsi" w:hAnsiTheme="minorHAnsi" w:cstheme="minorHAnsi"/>
                <w:bCs/>
                <w:color w:val="4D4D4D"/>
                <w:sz w:val="22"/>
              </w:rPr>
              <w:instrText xml:space="preserve"> \* MERGEFORMAT </w:instrText>
            </w:r>
            <w:r w:rsidRPr="001E1FF2">
              <w:rPr>
                <w:rFonts w:asciiTheme="minorHAnsi" w:hAnsiTheme="minorHAnsi" w:cstheme="minorHAnsi"/>
                <w:bCs/>
                <w:color w:val="4D4D4D"/>
              </w:rPr>
            </w:r>
            <w:r w:rsidRPr="001E1FF2">
              <w:rPr>
                <w:rFonts w:asciiTheme="minorHAnsi" w:hAnsiTheme="minorHAnsi" w:cstheme="minorHAnsi"/>
                <w:bCs/>
                <w:color w:val="4D4D4D"/>
              </w:rPr>
              <w:fldChar w:fldCharType="separate"/>
            </w:r>
            <w:r w:rsidR="00F33DA2">
              <w:rPr>
                <w:rFonts w:asciiTheme="minorHAnsi" w:hAnsiTheme="minorHAnsi" w:cstheme="minorHAnsi"/>
                <w:bCs/>
                <w:color w:val="4D4D4D"/>
                <w:sz w:val="22"/>
              </w:rPr>
              <w:t>ATTACHMENT A</w:t>
            </w:r>
            <w:r w:rsidRPr="001E1FF2">
              <w:rPr>
                <w:rFonts w:asciiTheme="minorHAnsi" w:hAnsiTheme="minorHAnsi" w:cstheme="minorHAnsi"/>
                <w:bCs/>
                <w:color w:val="4D4D4D"/>
              </w:rPr>
              <w:fldChar w:fldCharType="end"/>
            </w:r>
          </w:p>
        </w:tc>
      </w:tr>
      <w:tr w:rsidR="00365339" w:rsidRPr="001E1FF2" w14:paraId="21AD9623" w14:textId="77777777" w:rsidTr="001C2E23">
        <w:trPr>
          <w:trHeight w:val="360"/>
        </w:trPr>
        <w:tc>
          <w:tcPr>
            <w:tcW w:w="2678" w:type="dxa"/>
            <w:vAlign w:val="center"/>
          </w:tcPr>
          <w:p w14:paraId="432609BE"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Summer Target Reserve Margin</w:t>
            </w:r>
          </w:p>
        </w:tc>
        <w:tc>
          <w:tcPr>
            <w:tcW w:w="6682" w:type="dxa"/>
            <w:vAlign w:val="center"/>
          </w:tcPr>
          <w:p w14:paraId="2550A3EE" w14:textId="0BD56EE5"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Target Reserve Margin for summer periods</w:t>
            </w:r>
          </w:p>
        </w:tc>
      </w:tr>
      <w:tr w:rsidR="00365339" w:rsidRPr="001E1FF2" w14:paraId="5181A788" w14:textId="77777777" w:rsidTr="001C2E23">
        <w:trPr>
          <w:trHeight w:val="360"/>
        </w:trPr>
        <w:tc>
          <w:tcPr>
            <w:tcW w:w="2678" w:type="dxa"/>
            <w:vAlign w:val="center"/>
          </w:tcPr>
          <w:p w14:paraId="1B658ACB"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System</w:t>
            </w:r>
          </w:p>
        </w:tc>
        <w:tc>
          <w:tcPr>
            <w:tcW w:w="6682" w:type="dxa"/>
            <w:vAlign w:val="center"/>
          </w:tcPr>
          <w:p w14:paraId="218A4B90"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Southern Company System</w:t>
            </w:r>
          </w:p>
        </w:tc>
      </w:tr>
      <w:tr w:rsidR="00365339" w:rsidRPr="001E1FF2" w14:paraId="50C5964E" w14:textId="77777777" w:rsidTr="001C2E23">
        <w:trPr>
          <w:trHeight w:val="360"/>
        </w:trPr>
        <w:tc>
          <w:tcPr>
            <w:tcW w:w="2678" w:type="dxa"/>
            <w:vAlign w:val="center"/>
          </w:tcPr>
          <w:p w14:paraId="7604EC89"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T&amp;D</w:t>
            </w:r>
          </w:p>
        </w:tc>
        <w:tc>
          <w:tcPr>
            <w:tcW w:w="6682" w:type="dxa"/>
            <w:vAlign w:val="center"/>
          </w:tcPr>
          <w:p w14:paraId="35F345B2"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Transmission and Distribution</w:t>
            </w:r>
          </w:p>
        </w:tc>
      </w:tr>
      <w:tr w:rsidR="00365339" w:rsidRPr="001E1FF2" w14:paraId="7EF3F5DF" w14:textId="77777777" w:rsidTr="001C2E23">
        <w:trPr>
          <w:trHeight w:val="360"/>
        </w:trPr>
        <w:tc>
          <w:tcPr>
            <w:tcW w:w="2678" w:type="dxa"/>
            <w:vAlign w:val="center"/>
          </w:tcPr>
          <w:p w14:paraId="4724039B" w14:textId="691E3E80"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TMDV</w:t>
            </w:r>
          </w:p>
        </w:tc>
        <w:tc>
          <w:tcPr>
            <w:tcW w:w="6682" w:type="dxa"/>
            <w:vAlign w:val="center"/>
          </w:tcPr>
          <w:p w14:paraId="4BAB1FE8" w14:textId="69C157E2"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sz w:val="22"/>
              </w:rPr>
              <w:t>Transmission Monitoring, Diagnostics, and Visualization</w:t>
            </w:r>
          </w:p>
        </w:tc>
      </w:tr>
      <w:tr w:rsidR="00365339" w:rsidRPr="001E1FF2" w14:paraId="6AF38151" w14:textId="77777777" w:rsidTr="001C2E23">
        <w:trPr>
          <w:trHeight w:val="360"/>
        </w:trPr>
        <w:tc>
          <w:tcPr>
            <w:tcW w:w="2678" w:type="dxa"/>
            <w:vAlign w:val="center"/>
          </w:tcPr>
          <w:p w14:paraId="702C701C" w14:textId="7DFFC9E8"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TP-E</w:t>
            </w:r>
          </w:p>
        </w:tc>
        <w:tc>
          <w:tcPr>
            <w:tcW w:w="6682" w:type="dxa"/>
            <w:vAlign w:val="center"/>
          </w:tcPr>
          <w:p w14:paraId="73D5C500"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Transmission Planning-East</w:t>
            </w:r>
          </w:p>
        </w:tc>
      </w:tr>
      <w:tr w:rsidR="00365339" w:rsidRPr="001E1FF2" w14:paraId="07529065" w14:textId="77777777" w:rsidTr="001C2E23">
        <w:trPr>
          <w:trHeight w:val="360"/>
        </w:trPr>
        <w:tc>
          <w:tcPr>
            <w:tcW w:w="2678" w:type="dxa"/>
            <w:vAlign w:val="center"/>
          </w:tcPr>
          <w:p w14:paraId="1AB4E50F"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TRC</w:t>
            </w:r>
          </w:p>
        </w:tc>
        <w:tc>
          <w:tcPr>
            <w:tcW w:w="6682" w:type="dxa"/>
            <w:vAlign w:val="center"/>
          </w:tcPr>
          <w:p w14:paraId="28C421D4"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Total Resource Cost</w:t>
            </w:r>
          </w:p>
        </w:tc>
      </w:tr>
      <w:tr w:rsidR="00365339" w:rsidRPr="001E1FF2" w14:paraId="7A0F15D4" w14:textId="77777777" w:rsidTr="001C2E23">
        <w:trPr>
          <w:trHeight w:val="360"/>
        </w:trPr>
        <w:tc>
          <w:tcPr>
            <w:tcW w:w="2678" w:type="dxa"/>
            <w:vAlign w:val="center"/>
          </w:tcPr>
          <w:p w14:paraId="344098B3" w14:textId="2D24AC1D" w:rsidR="00365339" w:rsidRPr="001E1FF2" w:rsidRDefault="0077221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UGA</w:t>
            </w:r>
          </w:p>
        </w:tc>
        <w:tc>
          <w:tcPr>
            <w:tcW w:w="6682" w:type="dxa"/>
            <w:vAlign w:val="center"/>
          </w:tcPr>
          <w:p w14:paraId="2D2EDE33" w14:textId="7E0E4C08" w:rsidR="00365339" w:rsidRPr="001E1FF2" w:rsidRDefault="0077221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University of Georgia</w:t>
            </w:r>
          </w:p>
        </w:tc>
      </w:tr>
      <w:tr w:rsidR="00365339" w:rsidRPr="001E1FF2" w14:paraId="45726FDB" w14:textId="77777777" w:rsidTr="001C2E23">
        <w:trPr>
          <w:trHeight w:val="360"/>
        </w:trPr>
        <w:tc>
          <w:tcPr>
            <w:tcW w:w="2678" w:type="dxa"/>
            <w:vAlign w:val="center"/>
          </w:tcPr>
          <w:p w14:paraId="057A2605"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UPH</w:t>
            </w:r>
          </w:p>
        </w:tc>
        <w:tc>
          <w:tcPr>
            <w:tcW w:w="6682" w:type="dxa"/>
            <w:vAlign w:val="center"/>
          </w:tcPr>
          <w:p w14:paraId="3A11518D"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Underground Pumped Storage Hydroelectric</w:t>
            </w:r>
          </w:p>
        </w:tc>
      </w:tr>
      <w:tr w:rsidR="00772218" w:rsidRPr="001E1FF2" w14:paraId="13B6D04A" w14:textId="77777777" w:rsidTr="001C2E23">
        <w:trPr>
          <w:trHeight w:val="360"/>
        </w:trPr>
        <w:tc>
          <w:tcPr>
            <w:tcW w:w="2678" w:type="dxa"/>
            <w:vAlign w:val="center"/>
          </w:tcPr>
          <w:p w14:paraId="73EBFAC7" w14:textId="29963B6F" w:rsidR="00772218" w:rsidRPr="001E1FF2" w:rsidRDefault="0077221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UPS</w:t>
            </w:r>
          </w:p>
        </w:tc>
        <w:tc>
          <w:tcPr>
            <w:tcW w:w="6682" w:type="dxa"/>
            <w:vAlign w:val="center"/>
          </w:tcPr>
          <w:p w14:paraId="3F009091" w14:textId="370AB72F" w:rsidR="00772218" w:rsidRPr="001E1FF2" w:rsidRDefault="0077221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Uninterruptible Power Supply</w:t>
            </w:r>
          </w:p>
        </w:tc>
      </w:tr>
      <w:tr w:rsidR="00365339" w:rsidRPr="001E1FF2" w14:paraId="6EE658FF" w14:textId="77777777" w:rsidTr="001C2E23">
        <w:trPr>
          <w:trHeight w:val="360"/>
        </w:trPr>
        <w:tc>
          <w:tcPr>
            <w:tcW w:w="2678" w:type="dxa"/>
            <w:vAlign w:val="center"/>
          </w:tcPr>
          <w:p w14:paraId="5239F209"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URS</w:t>
            </w:r>
          </w:p>
        </w:tc>
        <w:tc>
          <w:tcPr>
            <w:tcW w:w="6682" w:type="dxa"/>
            <w:vAlign w:val="center"/>
          </w:tcPr>
          <w:p w14:paraId="14071611"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Unit Retirement Study</w:t>
            </w:r>
          </w:p>
        </w:tc>
      </w:tr>
      <w:tr w:rsidR="00365339" w:rsidRPr="001E1FF2" w14:paraId="394D21BE" w14:textId="77777777" w:rsidTr="001C2E23">
        <w:trPr>
          <w:trHeight w:val="360"/>
        </w:trPr>
        <w:tc>
          <w:tcPr>
            <w:tcW w:w="2678" w:type="dxa"/>
            <w:vAlign w:val="center"/>
          </w:tcPr>
          <w:p w14:paraId="15F13224"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USC</w:t>
            </w:r>
          </w:p>
        </w:tc>
        <w:tc>
          <w:tcPr>
            <w:tcW w:w="6682" w:type="dxa"/>
            <w:vAlign w:val="center"/>
          </w:tcPr>
          <w:p w14:paraId="611D3A29"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Ultrasupercritical Pulverized Coal</w:t>
            </w:r>
          </w:p>
        </w:tc>
      </w:tr>
      <w:tr w:rsidR="00772218" w:rsidRPr="001E1FF2" w14:paraId="7FDE38F5" w14:textId="77777777" w:rsidTr="001C2E23">
        <w:trPr>
          <w:trHeight w:val="360"/>
        </w:trPr>
        <w:tc>
          <w:tcPr>
            <w:tcW w:w="2678" w:type="dxa"/>
            <w:vAlign w:val="center"/>
          </w:tcPr>
          <w:p w14:paraId="73F24AF6" w14:textId="1C5C3C58" w:rsidR="00772218" w:rsidRPr="001E1FF2" w:rsidRDefault="0077221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UV</w:t>
            </w:r>
          </w:p>
        </w:tc>
        <w:tc>
          <w:tcPr>
            <w:tcW w:w="6682" w:type="dxa"/>
            <w:vAlign w:val="center"/>
          </w:tcPr>
          <w:p w14:paraId="3132AB31" w14:textId="16B14EB3" w:rsidR="00772218" w:rsidRPr="001E1FF2" w:rsidRDefault="0077221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Ultraviolet</w:t>
            </w:r>
          </w:p>
        </w:tc>
      </w:tr>
      <w:tr w:rsidR="00772218" w:rsidRPr="001E1FF2" w14:paraId="30192B4E" w14:textId="77777777" w:rsidTr="001C2E23">
        <w:trPr>
          <w:trHeight w:val="360"/>
        </w:trPr>
        <w:tc>
          <w:tcPr>
            <w:tcW w:w="2678" w:type="dxa"/>
            <w:vAlign w:val="center"/>
          </w:tcPr>
          <w:p w14:paraId="560B69F6" w14:textId="788F4257" w:rsidR="00772218" w:rsidRPr="001E1FF2" w:rsidRDefault="0077221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UV-F</w:t>
            </w:r>
          </w:p>
        </w:tc>
        <w:tc>
          <w:tcPr>
            <w:tcW w:w="6682" w:type="dxa"/>
            <w:vAlign w:val="center"/>
          </w:tcPr>
          <w:p w14:paraId="0EECDE4F" w14:textId="5A6363F7" w:rsidR="00772218" w:rsidRPr="001E1FF2" w:rsidRDefault="0077221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Ultraviolet Fluorescence</w:t>
            </w:r>
          </w:p>
        </w:tc>
      </w:tr>
      <w:tr w:rsidR="00365339" w:rsidRPr="001E1FF2" w14:paraId="31608D4D" w14:textId="77777777" w:rsidTr="001C2E23">
        <w:trPr>
          <w:trHeight w:val="360"/>
        </w:trPr>
        <w:tc>
          <w:tcPr>
            <w:tcW w:w="2678" w:type="dxa"/>
            <w:vAlign w:val="center"/>
          </w:tcPr>
          <w:p w14:paraId="5F14509C"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VCM</w:t>
            </w:r>
          </w:p>
        </w:tc>
        <w:tc>
          <w:tcPr>
            <w:tcW w:w="6682" w:type="dxa"/>
            <w:vAlign w:val="center"/>
          </w:tcPr>
          <w:p w14:paraId="296561AA" w14:textId="77777777"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Vogtle Construction Monitoring</w:t>
            </w:r>
          </w:p>
        </w:tc>
      </w:tr>
      <w:tr w:rsidR="00365339" w:rsidRPr="001E1FF2" w14:paraId="0704CDAC" w14:textId="77777777" w:rsidTr="001C2E23">
        <w:trPr>
          <w:trHeight w:val="360"/>
        </w:trPr>
        <w:tc>
          <w:tcPr>
            <w:tcW w:w="2678" w:type="dxa"/>
            <w:vAlign w:val="center"/>
          </w:tcPr>
          <w:p w14:paraId="601994F1" w14:textId="77777777" w:rsidR="00365339" w:rsidRPr="001E1FF2" w:rsidRDefault="00365339"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Winter Target Reserve Margin</w:t>
            </w:r>
          </w:p>
        </w:tc>
        <w:tc>
          <w:tcPr>
            <w:tcW w:w="6682" w:type="dxa"/>
            <w:vAlign w:val="center"/>
          </w:tcPr>
          <w:p w14:paraId="5073D6D0" w14:textId="256D6F3A" w:rsidR="00365339" w:rsidRPr="001E1FF2" w:rsidRDefault="00365339" w:rsidP="001E1FF2">
            <w:pPr>
              <w:spacing w:after="0" w:line="240" w:lineRule="auto"/>
              <w:jc w:val="left"/>
              <w:rPr>
                <w:rFonts w:asciiTheme="minorHAnsi" w:hAnsiTheme="minorHAnsi" w:cstheme="minorHAnsi"/>
                <w:sz w:val="22"/>
              </w:rPr>
            </w:pPr>
            <w:r w:rsidRPr="001E1FF2">
              <w:rPr>
                <w:rFonts w:asciiTheme="minorHAnsi" w:hAnsiTheme="minorHAnsi" w:cstheme="minorHAnsi"/>
                <w:bCs/>
                <w:color w:val="4D4D4D"/>
                <w:sz w:val="22"/>
              </w:rPr>
              <w:t>Target Reserve Margin for winter periods</w:t>
            </w:r>
          </w:p>
        </w:tc>
      </w:tr>
      <w:tr w:rsidR="00772218" w:rsidRPr="001E1FF2" w14:paraId="311137FC" w14:textId="77777777" w:rsidTr="001C2E23">
        <w:trPr>
          <w:trHeight w:val="360"/>
        </w:trPr>
        <w:tc>
          <w:tcPr>
            <w:tcW w:w="2678" w:type="dxa"/>
            <w:vAlign w:val="center"/>
          </w:tcPr>
          <w:p w14:paraId="76DFCC89" w14:textId="231FFE56" w:rsidR="00772218" w:rsidRPr="001E1FF2" w:rsidRDefault="00772218" w:rsidP="001E1FF2">
            <w:pPr>
              <w:spacing w:after="0" w:line="240" w:lineRule="auto"/>
              <w:jc w:val="left"/>
              <w:rPr>
                <w:rFonts w:asciiTheme="minorHAnsi" w:hAnsiTheme="minorHAnsi" w:cstheme="minorHAnsi"/>
                <w:b/>
                <w:bCs/>
                <w:color w:val="4D4D4D"/>
                <w:sz w:val="22"/>
              </w:rPr>
            </w:pPr>
            <w:r w:rsidRPr="001E1FF2">
              <w:rPr>
                <w:rFonts w:asciiTheme="minorHAnsi" w:hAnsiTheme="minorHAnsi" w:cstheme="minorHAnsi"/>
                <w:b/>
                <w:bCs/>
                <w:color w:val="4D4D4D"/>
                <w:sz w:val="22"/>
              </w:rPr>
              <w:t>WRCC</w:t>
            </w:r>
          </w:p>
        </w:tc>
        <w:tc>
          <w:tcPr>
            <w:tcW w:w="6682" w:type="dxa"/>
            <w:vAlign w:val="center"/>
          </w:tcPr>
          <w:p w14:paraId="02B69225" w14:textId="70E34DA2" w:rsidR="00772218" w:rsidRPr="001E1FF2" w:rsidRDefault="00772218" w:rsidP="001E1FF2">
            <w:pPr>
              <w:spacing w:after="0" w:line="240" w:lineRule="auto"/>
              <w:jc w:val="left"/>
              <w:rPr>
                <w:rFonts w:asciiTheme="minorHAnsi" w:hAnsiTheme="minorHAnsi" w:cstheme="minorHAnsi"/>
                <w:bCs/>
                <w:color w:val="4D4D4D"/>
                <w:sz w:val="22"/>
              </w:rPr>
            </w:pPr>
            <w:r w:rsidRPr="001E1FF2">
              <w:rPr>
                <w:rFonts w:asciiTheme="minorHAnsi" w:hAnsiTheme="minorHAnsi" w:cstheme="minorHAnsi"/>
                <w:bCs/>
                <w:color w:val="4D4D4D"/>
                <w:sz w:val="22"/>
              </w:rPr>
              <w:t>Water Research and Conservation Center</w:t>
            </w:r>
          </w:p>
        </w:tc>
      </w:tr>
      <w:bookmarkEnd w:id="309"/>
    </w:tbl>
    <w:p w14:paraId="0C1660D5" w14:textId="77777777" w:rsidR="001C2E23" w:rsidRPr="001C2E23" w:rsidRDefault="001C2E23" w:rsidP="001C2E23"/>
    <w:sectPr w:rsidR="001C2E23" w:rsidRPr="001C2E23" w:rsidSect="00A63672">
      <w:footerReference w:type="default" r:id="rId28"/>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FA5F1" w14:textId="77777777" w:rsidR="00D87985" w:rsidRDefault="00D87985" w:rsidP="003B1A17">
      <w:pPr>
        <w:spacing w:line="240" w:lineRule="auto"/>
      </w:pPr>
      <w:r>
        <w:separator/>
      </w:r>
    </w:p>
  </w:endnote>
  <w:endnote w:type="continuationSeparator" w:id="0">
    <w:p w14:paraId="086435F7" w14:textId="77777777" w:rsidR="00D87985" w:rsidRDefault="00D87985" w:rsidP="003B1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B09F" w14:textId="77777777"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62336" behindDoc="0" locked="0" layoutInCell="1" allowOverlap="1" wp14:anchorId="15AEA0D3" wp14:editId="675C890E">
          <wp:simplePos x="0" y="0"/>
          <wp:positionH relativeFrom="leftMargin">
            <wp:align>right</wp:align>
          </wp:positionH>
          <wp:positionV relativeFrom="page">
            <wp:posOffset>9406236</wp:posOffset>
          </wp:positionV>
          <wp:extent cx="539496" cy="3840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sdt>
      <w:sdtPr>
        <w:rPr>
          <w:rFonts w:cs="Arial"/>
          <w:sz w:val="24"/>
        </w:rPr>
        <w:id w:val="-410156445"/>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73A1" w14:textId="028E6FEC"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76672" behindDoc="0" locked="0" layoutInCell="1" allowOverlap="1" wp14:anchorId="3CD3A2E8" wp14:editId="1E1D79B2">
          <wp:simplePos x="0" y="0"/>
          <wp:positionH relativeFrom="leftMargin">
            <wp:align>right</wp:align>
          </wp:positionH>
          <wp:positionV relativeFrom="page">
            <wp:posOffset>9406236</wp:posOffset>
          </wp:positionV>
          <wp:extent cx="539496" cy="384048"/>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r>
      <w:rPr>
        <w:rFonts w:cs="Arial"/>
        <w:sz w:val="24"/>
      </w:rPr>
      <w:t>F-</w:t>
    </w:r>
    <w:sdt>
      <w:sdtPr>
        <w:rPr>
          <w:rFonts w:cs="Arial"/>
          <w:sz w:val="24"/>
        </w:rPr>
        <w:id w:val="877205986"/>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F063" w14:textId="0B6A8AB4"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78720" behindDoc="0" locked="0" layoutInCell="1" allowOverlap="1" wp14:anchorId="4B1EDFCE" wp14:editId="7A7CB381">
          <wp:simplePos x="0" y="0"/>
          <wp:positionH relativeFrom="leftMargin">
            <wp:align>right</wp:align>
          </wp:positionH>
          <wp:positionV relativeFrom="page">
            <wp:posOffset>9406236</wp:posOffset>
          </wp:positionV>
          <wp:extent cx="539496" cy="38404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r>
      <w:rPr>
        <w:rFonts w:cs="Arial"/>
        <w:sz w:val="24"/>
      </w:rPr>
      <w:t>G-</w:t>
    </w:r>
    <w:sdt>
      <w:sdtPr>
        <w:rPr>
          <w:rFonts w:cs="Arial"/>
          <w:sz w:val="24"/>
        </w:rPr>
        <w:id w:val="837357345"/>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AD65" w14:textId="5F130B49"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80768" behindDoc="0" locked="0" layoutInCell="1" allowOverlap="1" wp14:anchorId="6AF7FE70" wp14:editId="46E90D8A">
          <wp:simplePos x="0" y="0"/>
          <wp:positionH relativeFrom="leftMargin">
            <wp:align>right</wp:align>
          </wp:positionH>
          <wp:positionV relativeFrom="page">
            <wp:posOffset>9406236</wp:posOffset>
          </wp:positionV>
          <wp:extent cx="539496" cy="384048"/>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r>
      <w:rPr>
        <w:rFonts w:cs="Arial"/>
        <w:sz w:val="24"/>
      </w:rPr>
      <w:t>H-</w:t>
    </w:r>
    <w:sdt>
      <w:sdtPr>
        <w:rPr>
          <w:rFonts w:cs="Arial"/>
          <w:sz w:val="24"/>
        </w:rPr>
        <w:id w:val="-1544823564"/>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7539" w14:textId="77777777"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84864" behindDoc="0" locked="0" layoutInCell="1" allowOverlap="1" wp14:anchorId="1FDFEFD0" wp14:editId="6CFFCBD0">
          <wp:simplePos x="0" y="0"/>
          <wp:positionH relativeFrom="leftMargin">
            <wp:align>right</wp:align>
          </wp:positionH>
          <wp:positionV relativeFrom="page">
            <wp:posOffset>9406236</wp:posOffset>
          </wp:positionV>
          <wp:extent cx="539496" cy="3840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r>
      <w:rPr>
        <w:rFonts w:cs="Arial"/>
        <w:sz w:val="24"/>
      </w:rPr>
      <w:t>I-</w:t>
    </w:r>
    <w:sdt>
      <w:sdtPr>
        <w:rPr>
          <w:rFonts w:cs="Arial"/>
          <w:sz w:val="24"/>
        </w:rPr>
        <w:id w:val="-1396196400"/>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E8DE" w14:textId="77777777"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82816" behindDoc="0" locked="0" layoutInCell="1" allowOverlap="1" wp14:anchorId="788B466A" wp14:editId="12195270">
          <wp:simplePos x="0" y="0"/>
          <wp:positionH relativeFrom="leftMargin">
            <wp:align>right</wp:align>
          </wp:positionH>
          <wp:positionV relativeFrom="page">
            <wp:posOffset>9406236</wp:posOffset>
          </wp:positionV>
          <wp:extent cx="539496" cy="38404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sdt>
      <w:sdtPr>
        <w:rPr>
          <w:rFonts w:cs="Arial"/>
          <w:sz w:val="24"/>
        </w:rPr>
        <w:id w:val="-886189399"/>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B456" w14:textId="77777777" w:rsidR="00D87985" w:rsidRDefault="00D879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6311" w14:textId="77777777"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64384" behindDoc="0" locked="0" layoutInCell="1" allowOverlap="1" wp14:anchorId="4C4241D1" wp14:editId="24E3C312">
          <wp:simplePos x="0" y="0"/>
          <wp:positionH relativeFrom="leftMargin">
            <wp:align>right</wp:align>
          </wp:positionH>
          <wp:positionV relativeFrom="page">
            <wp:posOffset>9406236</wp:posOffset>
          </wp:positionV>
          <wp:extent cx="539496" cy="384048"/>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sdt>
      <w:sdtPr>
        <w:rPr>
          <w:rFonts w:cs="Arial"/>
          <w:sz w:val="24"/>
        </w:rPr>
        <w:id w:val="15212538"/>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CB54" w14:textId="65CF81F7"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66432" behindDoc="0" locked="0" layoutInCell="1" allowOverlap="1" wp14:anchorId="1F412F0F" wp14:editId="22B70840">
          <wp:simplePos x="0" y="0"/>
          <wp:positionH relativeFrom="leftMargin">
            <wp:align>right</wp:align>
          </wp:positionH>
          <wp:positionV relativeFrom="page">
            <wp:posOffset>9406236</wp:posOffset>
          </wp:positionV>
          <wp:extent cx="539496" cy="384048"/>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r>
      <w:rPr>
        <w:rFonts w:cs="Arial"/>
        <w:sz w:val="24"/>
      </w:rPr>
      <w:t>A-</w:t>
    </w:r>
    <w:sdt>
      <w:sdtPr>
        <w:rPr>
          <w:rFonts w:cs="Arial"/>
          <w:sz w:val="24"/>
        </w:rPr>
        <w:id w:val="109242412"/>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01DAC" w14:textId="3F11AFD0"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68480" behindDoc="0" locked="0" layoutInCell="1" allowOverlap="1" wp14:anchorId="34FF06EF" wp14:editId="36B9C230">
          <wp:simplePos x="0" y="0"/>
          <wp:positionH relativeFrom="leftMargin">
            <wp:align>right</wp:align>
          </wp:positionH>
          <wp:positionV relativeFrom="page">
            <wp:posOffset>9406236</wp:posOffset>
          </wp:positionV>
          <wp:extent cx="539496" cy="38404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r>
      <w:rPr>
        <w:rFonts w:cs="Arial"/>
        <w:sz w:val="24"/>
      </w:rPr>
      <w:t>B-</w:t>
    </w:r>
    <w:sdt>
      <w:sdtPr>
        <w:rPr>
          <w:rFonts w:cs="Arial"/>
          <w:sz w:val="24"/>
        </w:rPr>
        <w:id w:val="1311838438"/>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92B6" w14:textId="1B590E46"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72576" behindDoc="0" locked="0" layoutInCell="1" allowOverlap="1" wp14:anchorId="7218333F" wp14:editId="2572DDA4">
          <wp:simplePos x="0" y="0"/>
          <wp:positionH relativeFrom="leftMargin">
            <wp:align>right</wp:align>
          </wp:positionH>
          <wp:positionV relativeFrom="page">
            <wp:posOffset>9406236</wp:posOffset>
          </wp:positionV>
          <wp:extent cx="539496" cy="384048"/>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r>
      <w:rPr>
        <w:rFonts w:cs="Arial"/>
        <w:sz w:val="24"/>
      </w:rPr>
      <w:t>C-</w:t>
    </w:r>
    <w:sdt>
      <w:sdtPr>
        <w:rPr>
          <w:rFonts w:cs="Arial"/>
          <w:sz w:val="24"/>
        </w:rPr>
        <w:id w:val="-1680815927"/>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7FC64" w14:textId="77777777"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70528" behindDoc="0" locked="0" layoutInCell="1" allowOverlap="1" wp14:anchorId="10BA7C18" wp14:editId="5D37709F">
          <wp:simplePos x="0" y="0"/>
          <wp:positionH relativeFrom="leftMargin">
            <wp:align>right</wp:align>
          </wp:positionH>
          <wp:positionV relativeFrom="page">
            <wp:posOffset>9406236</wp:posOffset>
          </wp:positionV>
          <wp:extent cx="539496" cy="38404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r>
      <w:rPr>
        <w:rFonts w:cs="Arial"/>
        <w:sz w:val="24"/>
      </w:rPr>
      <w:t>D-</w:t>
    </w:r>
    <w:sdt>
      <w:sdtPr>
        <w:rPr>
          <w:rFonts w:cs="Arial"/>
          <w:sz w:val="24"/>
        </w:rPr>
        <w:id w:val="728199058"/>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F7AE" w14:textId="5AF7DA1A" w:rsidR="00D87985" w:rsidRDefault="00D87985" w:rsidP="00F0355E">
    <w:pPr>
      <w:pStyle w:val="Footer"/>
      <w:tabs>
        <w:tab w:val="clear" w:pos="9360"/>
        <w:tab w:val="right" w:pos="10260"/>
      </w:tabs>
      <w:ind w:right="-900"/>
      <w:rPr>
        <w:rFonts w:cs="Arial"/>
        <w:noProof/>
      </w:rPr>
    </w:pPr>
    <w:r w:rsidRPr="00F0355E">
      <w:rPr>
        <w:rFonts w:cs="Arial"/>
        <w:noProof/>
        <w:sz w:val="24"/>
      </w:rPr>
      <w:drawing>
        <wp:anchor distT="0" distB="0" distL="114300" distR="114300" simplePos="0" relativeHeight="251674624" behindDoc="0" locked="0" layoutInCell="1" allowOverlap="1" wp14:anchorId="52DABF0D" wp14:editId="2CE044B1">
          <wp:simplePos x="0" y="0"/>
          <wp:positionH relativeFrom="leftMargin">
            <wp:align>right</wp:align>
          </wp:positionH>
          <wp:positionV relativeFrom="page">
            <wp:posOffset>9406236</wp:posOffset>
          </wp:positionV>
          <wp:extent cx="539496" cy="38404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496" cy="384048"/>
                  </a:xfrm>
                  <a:prstGeom prst="rect">
                    <a:avLst/>
                  </a:prstGeom>
                </pic:spPr>
              </pic:pic>
            </a:graphicData>
          </a:graphic>
          <wp14:sizeRelH relativeFrom="margin">
            <wp14:pctWidth>0</wp14:pctWidth>
          </wp14:sizeRelH>
          <wp14:sizeRelV relativeFrom="margin">
            <wp14:pctHeight>0</wp14:pctHeight>
          </wp14:sizeRelV>
        </wp:anchor>
      </w:drawing>
    </w:r>
    <w:r w:rsidRPr="00F0355E">
      <w:rPr>
        <w:rFonts w:cs="Arial"/>
        <w:sz w:val="24"/>
      </w:rPr>
      <w:tab/>
    </w:r>
    <w:r w:rsidRPr="00F0355E">
      <w:rPr>
        <w:rFonts w:cs="Arial"/>
        <w:sz w:val="24"/>
      </w:rPr>
      <w:tab/>
    </w:r>
    <w:r>
      <w:rPr>
        <w:rFonts w:cs="Arial"/>
        <w:sz w:val="24"/>
      </w:rPr>
      <w:t>E-</w:t>
    </w:r>
    <w:sdt>
      <w:sdtPr>
        <w:rPr>
          <w:rFonts w:cs="Arial"/>
          <w:sz w:val="24"/>
        </w:rPr>
        <w:id w:val="-1905215682"/>
        <w:docPartObj>
          <w:docPartGallery w:val="Page Numbers (Bottom of Page)"/>
          <w:docPartUnique/>
        </w:docPartObj>
      </w:sdtPr>
      <w:sdtEndPr>
        <w:rPr>
          <w:noProof/>
          <w:sz w:val="22"/>
        </w:rPr>
      </w:sdtEndPr>
      <w:sdtContent>
        <w:r w:rsidRPr="00F0355E">
          <w:rPr>
            <w:rFonts w:cs="Arial"/>
          </w:rPr>
          <w:fldChar w:fldCharType="begin"/>
        </w:r>
        <w:r w:rsidRPr="00F0355E">
          <w:rPr>
            <w:rFonts w:cs="Arial"/>
          </w:rPr>
          <w:instrText xml:space="preserve"> PAGE   \* MERGEFORMAT </w:instrText>
        </w:r>
        <w:r w:rsidRPr="00F0355E">
          <w:rPr>
            <w:rFonts w:cs="Arial"/>
          </w:rPr>
          <w:fldChar w:fldCharType="separate"/>
        </w:r>
        <w:r>
          <w:rPr>
            <w:rFonts w:cs="Arial"/>
            <w:noProof/>
          </w:rPr>
          <w:t>3</w:t>
        </w:r>
        <w:r w:rsidRPr="00F0355E">
          <w:rPr>
            <w:rFonts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F1A1D" w14:textId="77777777" w:rsidR="00D87985" w:rsidRPr="00CF51A7" w:rsidRDefault="00D87985" w:rsidP="003B1A17">
      <w:pPr>
        <w:spacing w:line="240" w:lineRule="auto"/>
      </w:pPr>
      <w:r w:rsidRPr="00CF51A7">
        <w:separator/>
      </w:r>
    </w:p>
  </w:footnote>
  <w:footnote w:type="continuationSeparator" w:id="0">
    <w:p w14:paraId="368F26EC" w14:textId="77777777" w:rsidR="00D87985" w:rsidRDefault="00D87985" w:rsidP="003B1A17">
      <w:pPr>
        <w:spacing w:line="240" w:lineRule="auto"/>
      </w:pPr>
      <w:r>
        <w:continuationSeparator/>
      </w:r>
    </w:p>
  </w:footnote>
  <w:footnote w:id="1">
    <w:p w14:paraId="044ACB3D" w14:textId="30460E61" w:rsidR="00D87985" w:rsidRDefault="00D87985">
      <w:pPr>
        <w:pStyle w:val="FootnoteText"/>
      </w:pPr>
      <w:r>
        <w:rPr>
          <w:rStyle w:val="FootnoteReference"/>
        </w:rPr>
        <w:footnoteRef/>
      </w:r>
      <w:r>
        <w:t xml:space="preserve"> Georgia Power purchases only the null energy output from some renewable generating facilities that have contracted to sell energy from their facilities to Georgia Power. The ownership of the associated renewable energy credits (“RECs”) is specified in each respective power purchase agreement (“PPA”) and the party that owns the RECs retains the right to use the RECs. Georgia Power does not report emission reductions from the null energy purchased through PPAs that do not bundle the RECs for sale to Georgia Power.</w:t>
      </w:r>
    </w:p>
  </w:footnote>
  <w:footnote w:id="2">
    <w:p w14:paraId="689880CB" w14:textId="44EB4EB4" w:rsidR="00D87985" w:rsidRDefault="00D87985" w:rsidP="00AA0AF8">
      <w:pPr>
        <w:pStyle w:val="FootnoteText"/>
      </w:pPr>
      <w:r>
        <w:rPr>
          <w:rStyle w:val="FootnoteReference"/>
        </w:rPr>
        <w:footnoteRef/>
      </w:r>
      <w:r>
        <w:t xml:space="preserve"> Operating Companies operate their respective electric generating facilities and conduct their system operations (generally referred to as the “Pool”) pursuant to and in accordance with the provisions of an interchange contract among themselves.</w:t>
      </w:r>
    </w:p>
  </w:footnote>
  <w:footnote w:id="3">
    <w:p w14:paraId="3A6F5091" w14:textId="16A41F16" w:rsidR="00D87985" w:rsidRDefault="00D87985">
      <w:pPr>
        <w:pStyle w:val="FootnoteText"/>
      </w:pPr>
      <w:r>
        <w:rPr>
          <w:rStyle w:val="FootnoteReference"/>
        </w:rPr>
        <w:footnoteRef/>
      </w:r>
      <w:r>
        <w:t xml:space="preserve"> Georgia Power purchases only the null energy output from some renewable generating facilities that have contracted to sell energy from their facilities to Georgia Power. The ownership of the associated RECs is specified in each respective PPA and the party that owns the RECs retains the right to use the RECs. Georgia Power does not report emission reductions from the null energy purchased through PPAs that do not bundle the RECs for sale to Georgia Power.</w:t>
      </w:r>
    </w:p>
  </w:footnote>
  <w:footnote w:id="4">
    <w:p w14:paraId="741C8577" w14:textId="28E03F8F" w:rsidR="00D87985" w:rsidRDefault="00D87985" w:rsidP="003D03F0">
      <w:pPr>
        <w:pStyle w:val="FootnoteText"/>
      </w:pPr>
      <w:r>
        <w:rPr>
          <w:rStyle w:val="FootnoteReference"/>
        </w:rPr>
        <w:footnoteRef/>
      </w:r>
      <w:r>
        <w:t xml:space="preserve"> All current and forward-looking online and contracted solar capacity numbers are shown in alternating current (“AC”) or direct current (“DC”) values, based on program reporting.</w:t>
      </w:r>
    </w:p>
  </w:footnote>
  <w:footnote w:id="5">
    <w:p w14:paraId="77438792" w14:textId="4D0C8235" w:rsidR="00D87985" w:rsidRDefault="00D87985">
      <w:pPr>
        <w:pStyle w:val="FootnoteText"/>
      </w:pPr>
      <w:r>
        <w:rPr>
          <w:rStyle w:val="FootnoteReference"/>
        </w:rPr>
        <w:footnoteRef/>
      </w:r>
      <w:r>
        <w:t xml:space="preserve"> Glossary of Terms Used in NERC Reliability Standards - </w:t>
      </w:r>
      <w:r w:rsidRPr="00B029C7">
        <w:t>https://www.nerc.com/files/glossary_of_terms.pdf</w:t>
      </w:r>
    </w:p>
  </w:footnote>
  <w:footnote w:id="6">
    <w:p w14:paraId="7F3504A9" w14:textId="5DEEE14C" w:rsidR="00D87985" w:rsidRDefault="00D87985" w:rsidP="002242B7">
      <w:pPr>
        <w:pStyle w:val="FootnoteText"/>
      </w:pPr>
      <w:r>
        <w:rPr>
          <w:rStyle w:val="FootnoteReference"/>
        </w:rPr>
        <w:footnoteRef/>
      </w:r>
      <w:r>
        <w:t xml:space="preserve"> Georgia Power purchases only the null energy output from some renewable generating facilities that have contracted to sell energy from their facilities to Georgia Power. The ownership of the associated RECs is specified in each respective PPA and the party that owns the RECs retains the right to use the RECs. Georgia Power does not report emission reductions from the null energy purchased through PPAs that do not bundle the RECs for sale to Georgia Power.</w:t>
      </w:r>
    </w:p>
  </w:footnote>
  <w:footnote w:id="7">
    <w:p w14:paraId="3BCE47EB" w14:textId="5ADCE58F" w:rsidR="00D87985" w:rsidRDefault="00D87985" w:rsidP="00FC2303">
      <w:pPr>
        <w:pStyle w:val="FootnoteText"/>
      </w:pPr>
      <w:r>
        <w:rPr>
          <w:rStyle w:val="FootnoteReference"/>
        </w:rPr>
        <w:footnoteRef/>
      </w:r>
      <w:r>
        <w:t xml:space="preserve"> For purposes of the Intercompany Interchange Contract (IIC), Operating Companies currently consist of the Southern Operating Companies (Alabama Power Company, Georgia Power Company, Mississippi Power Company, and Southern Power Company) as well as Gulf Power Company. </w:t>
      </w:r>
      <w:r w:rsidRPr="00CD120D">
        <w:t>On January 1, 2019</w:t>
      </w:r>
      <w:r>
        <w:t>,</w:t>
      </w:r>
      <w:r w:rsidRPr="00CD120D">
        <w:t xml:space="preserve"> Southern Company completed the sale of Gulf Power Company to NextEra Energy. Gulf Power will remain part of the Pool for the Transition Period and be treated similarly to the 12 months prior to closing.</w:t>
      </w:r>
      <w:r>
        <w:t xml:space="preserve"> The Transition Period is defined as five years from the date the transaction closes with the possibility of an extension for 2 additional years. Although Southern Company and NextEra Energy agreed a 5 to 7-year Transition Period will likely be needed, Gulf Power Company has the right to withdraw from the Pool at any time with 180 days’ notice. The details outlining Gulf Power Company’s participation in the Pool as a non-affiliate are included in Appendix A to IIC that was filed at FERC on July 3, 2018.</w:t>
      </w:r>
    </w:p>
  </w:footnote>
  <w:footnote w:id="8">
    <w:p w14:paraId="494BA2B1" w14:textId="1EC4B35F" w:rsidR="00D87985" w:rsidRDefault="00D87985" w:rsidP="00FC2303">
      <w:pPr>
        <w:pStyle w:val="FootnoteText"/>
      </w:pPr>
      <w:r>
        <w:rPr>
          <w:rStyle w:val="FootnoteReference"/>
        </w:rPr>
        <w:footnoteRef/>
      </w:r>
      <w:r>
        <w:t xml:space="preserve"> </w:t>
      </w:r>
      <w:bookmarkStart w:id="266" w:name="_Hlk534292305"/>
      <w:r w:rsidRPr="00CD120D">
        <w:t xml:space="preserve">Gulf Power Company will develop its own resource plans to be verified by </w:t>
      </w:r>
      <w:r>
        <w:t xml:space="preserve">SCS </w:t>
      </w:r>
      <w:r w:rsidRPr="00CD120D">
        <w:t>and aggregated with the plans of the other Pool members.</w:t>
      </w:r>
      <w:r>
        <w:t xml:space="preserve"> </w:t>
      </w:r>
      <w:bookmarkEnd w:id="266"/>
      <w:r>
        <w:t xml:space="preserve">Gulf Power Company is </w:t>
      </w:r>
      <w:r w:rsidRPr="00CD120D">
        <w:t>expected to have adequate resources to reliably serve its own obligations and is required to provide sufficient information to demonstrate compliance with such expectation during the Transition Period</w:t>
      </w:r>
      <w:r>
        <w:t>. No Operating Company specific information for the Southern Company Operating Companies will be shared with NextEra Energy or Gulf Power Company.</w:t>
      </w:r>
    </w:p>
  </w:footnote>
  <w:footnote w:id="9">
    <w:p w14:paraId="6003A614" w14:textId="426DE2EC" w:rsidR="00D87985" w:rsidRDefault="00D87985" w:rsidP="003F53A4">
      <w:pPr>
        <w:pStyle w:val="FootnoteText"/>
      </w:pPr>
      <w:r>
        <w:rPr>
          <w:rStyle w:val="FootnoteReference"/>
        </w:rPr>
        <w:footnoteRef/>
      </w:r>
      <w:r>
        <w:t xml:space="preserve"> As of January 1, 2019, </w:t>
      </w:r>
      <w:r w:rsidRPr="00F758DA">
        <w:t>Gulf Power will not have a representative on the Operating Committee but will have a designated contact to be notified of changes to the IIC or policies, practices, or procedures used in it</w:t>
      </w:r>
      <w:r>
        <w:t>s</w:t>
      </w:r>
      <w:r w:rsidRPr="00F758DA">
        <w:t xml:space="preserve"> implementation.  </w:t>
      </w:r>
    </w:p>
  </w:footnote>
  <w:footnote w:id="10">
    <w:p w14:paraId="145BAFC9" w14:textId="77777777" w:rsidR="00D87985" w:rsidRDefault="00D87985" w:rsidP="00FC2303">
      <w:pPr>
        <w:pStyle w:val="FootnoteText"/>
      </w:pPr>
      <w:r>
        <w:rPr>
          <w:rStyle w:val="FootnoteReference"/>
        </w:rPr>
        <w:footnoteRef/>
      </w:r>
      <w:r>
        <w:t xml:space="preserve"> </w:t>
      </w:r>
      <w:r w:rsidRPr="00BE18EA">
        <w:t xml:space="preserve">Gulf Power Company will develop its own resource plans to be verified by the Agent and aggregated with the plans of the other Pool members.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5B0"/>
    <w:multiLevelType w:val="hybridMultilevel"/>
    <w:tmpl w:val="519641B6"/>
    <w:lvl w:ilvl="0" w:tplc="04090001">
      <w:start w:val="1"/>
      <w:numFmt w:val="bullet"/>
      <w:lvlText w:val=""/>
      <w:lvlJc w:val="left"/>
      <w:pPr>
        <w:ind w:left="720" w:hanging="360"/>
      </w:pPr>
      <w:rPr>
        <w:rFonts w:ascii="Symbol" w:hAnsi="Symbol" w:hint="default"/>
      </w:rPr>
    </w:lvl>
    <w:lvl w:ilvl="1" w:tplc="71A2B7CA">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171B"/>
    <w:multiLevelType w:val="hybridMultilevel"/>
    <w:tmpl w:val="3FDA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729E"/>
    <w:multiLevelType w:val="hybridMultilevel"/>
    <w:tmpl w:val="C602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06C0"/>
    <w:multiLevelType w:val="multilevel"/>
    <w:tmpl w:val="02DCF74E"/>
    <w:lvl w:ilvl="0">
      <w:start w:val="1"/>
      <w:numFmt w:val="upperLetter"/>
      <w:pStyle w:val="1B"/>
      <w:suff w:val="space"/>
      <w:lvlText w:val="ATTACHMENT %1."/>
      <w:lvlJc w:val="left"/>
      <w:pPr>
        <w:ind w:left="360" w:firstLine="0"/>
      </w:pPr>
      <w:rPr>
        <w:rFonts w:asciiTheme="majorHAnsi" w:hAnsiTheme="majorHAnsi" w:hint="default"/>
        <w:b/>
        <w:i w:val="0"/>
        <w:caps/>
        <w:strike w:val="0"/>
        <w:dstrike w:val="0"/>
        <w:vanish w:val="0"/>
        <w:color w:val="005D8A" w:themeColor="accent2" w:themeShade="BF"/>
        <w:sz w:val="24"/>
        <w:vertAlign w:val="baseline"/>
      </w:rPr>
    </w:lvl>
    <w:lvl w:ilvl="1">
      <w:start w:val="1"/>
      <w:numFmt w:val="decimal"/>
      <w:pStyle w:val="2B"/>
      <w:suff w:val="space"/>
      <w:lvlText w:val="%1.%2."/>
      <w:lvlJc w:val="left"/>
      <w:pPr>
        <w:ind w:left="0" w:firstLine="0"/>
      </w:pPr>
      <w:rPr>
        <w:rFonts w:asciiTheme="majorHAnsi" w:hAnsiTheme="majorHAnsi" w:hint="default"/>
        <w:b w:val="0"/>
        <w:i/>
        <w:caps/>
        <w:strike w:val="0"/>
        <w:dstrike w:val="0"/>
        <w:vanish w:val="0"/>
        <w:color w:val="005D8A" w:themeColor="accent2" w:themeShade="BF"/>
        <w:sz w:val="24"/>
        <w:vertAlign w:val="baseline"/>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EC33E2"/>
    <w:multiLevelType w:val="hybridMultilevel"/>
    <w:tmpl w:val="471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820DA"/>
    <w:multiLevelType w:val="hybridMultilevel"/>
    <w:tmpl w:val="18A4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A498A"/>
    <w:multiLevelType w:val="hybridMultilevel"/>
    <w:tmpl w:val="04523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F5209D"/>
    <w:multiLevelType w:val="hybridMultilevel"/>
    <w:tmpl w:val="ADDE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D3DAD"/>
    <w:multiLevelType w:val="hybridMultilevel"/>
    <w:tmpl w:val="95E4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D2D34"/>
    <w:multiLevelType w:val="hybridMultilevel"/>
    <w:tmpl w:val="ADD4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B6DF4"/>
    <w:multiLevelType w:val="hybridMultilevel"/>
    <w:tmpl w:val="DEC6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A2A05"/>
    <w:multiLevelType w:val="hybridMultilevel"/>
    <w:tmpl w:val="79843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53512"/>
    <w:multiLevelType w:val="hybridMultilevel"/>
    <w:tmpl w:val="7E0A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00747"/>
    <w:multiLevelType w:val="hybridMultilevel"/>
    <w:tmpl w:val="BF00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B7A11"/>
    <w:multiLevelType w:val="hybridMultilevel"/>
    <w:tmpl w:val="6DF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B4E"/>
    <w:multiLevelType w:val="hybridMultilevel"/>
    <w:tmpl w:val="3838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44C51"/>
    <w:multiLevelType w:val="hybridMultilevel"/>
    <w:tmpl w:val="1D8C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9140F"/>
    <w:multiLevelType w:val="hybridMultilevel"/>
    <w:tmpl w:val="4A121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B3F8D"/>
    <w:multiLevelType w:val="hybridMultilevel"/>
    <w:tmpl w:val="4C5493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234935"/>
    <w:multiLevelType w:val="hybridMultilevel"/>
    <w:tmpl w:val="832CB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B4E22"/>
    <w:multiLevelType w:val="hybridMultilevel"/>
    <w:tmpl w:val="8A9A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F66DA"/>
    <w:multiLevelType w:val="hybridMultilevel"/>
    <w:tmpl w:val="2C84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A561B"/>
    <w:multiLevelType w:val="hybridMultilevel"/>
    <w:tmpl w:val="3DDC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32A60"/>
    <w:multiLevelType w:val="hybridMultilevel"/>
    <w:tmpl w:val="AF68D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539FC"/>
    <w:multiLevelType w:val="hybridMultilevel"/>
    <w:tmpl w:val="786C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F0570"/>
    <w:multiLevelType w:val="hybridMultilevel"/>
    <w:tmpl w:val="938E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B6803"/>
    <w:multiLevelType w:val="hybridMultilevel"/>
    <w:tmpl w:val="EEF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155CF"/>
    <w:multiLevelType w:val="hybridMultilevel"/>
    <w:tmpl w:val="497C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C5B01"/>
    <w:multiLevelType w:val="hybridMultilevel"/>
    <w:tmpl w:val="1C80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D1A1E"/>
    <w:multiLevelType w:val="hybridMultilevel"/>
    <w:tmpl w:val="614C26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338F3"/>
    <w:multiLevelType w:val="hybridMultilevel"/>
    <w:tmpl w:val="F1A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A60A2"/>
    <w:multiLevelType w:val="multilevel"/>
    <w:tmpl w:val="4B3A858A"/>
    <w:lvl w:ilvl="0">
      <w:start w:val="1"/>
      <w:numFmt w:val="decimal"/>
      <w:pStyle w:val="Heading1"/>
      <w:suff w:val="space"/>
      <w:lvlText w:val="CHAPTER %1."/>
      <w:lvlJc w:val="left"/>
      <w:pPr>
        <w:ind w:left="360" w:firstLine="0"/>
      </w:pPr>
      <w:rPr>
        <w:rFonts w:hint="default"/>
        <w:b/>
        <w:i w:val="0"/>
        <w:color w:val="005D8A" w:themeColor="accent2" w:themeShade="BF"/>
      </w:rPr>
    </w:lvl>
    <w:lvl w:ilvl="1">
      <w:start w:val="1"/>
      <w:numFmt w:val="decimal"/>
      <w:pStyle w:val="Heading2"/>
      <w:suff w:val="space"/>
      <w:lvlText w:val="%1.%2."/>
      <w:lvlJc w:val="left"/>
      <w:pPr>
        <w:ind w:left="0" w:firstLine="0"/>
      </w:pPr>
      <w:rPr>
        <w:rFonts w:asciiTheme="majorHAnsi" w:hAnsiTheme="majorHAnsi" w:hint="default"/>
        <w:b w:val="0"/>
        <w:bCs w:val="0"/>
        <w:i/>
        <w:iCs w:val="0"/>
        <w:caps/>
        <w:smallCaps w:val="0"/>
        <w:strike w:val="0"/>
        <w:dstrike w:val="0"/>
        <w:outline w:val="0"/>
        <w:shadow w:val="0"/>
        <w:emboss w:val="0"/>
        <w:imprint w:val="0"/>
        <w:noProof w:val="0"/>
        <w:vanish w:val="0"/>
        <w:color w:val="005D8A" w:themeColor="accent2" w:themeShade="BF"/>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3."/>
      <w:lvlJc w:val="left"/>
      <w:pPr>
        <w:ind w:left="0" w:firstLine="0"/>
      </w:pPr>
      <w:rPr>
        <w:rFonts w:hint="default"/>
        <w:b w:val="0"/>
        <w:i/>
        <w:caps/>
        <w:color w:val="005D8A" w:themeColor="accent2" w:themeShade="BF"/>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791F5C"/>
    <w:multiLevelType w:val="hybridMultilevel"/>
    <w:tmpl w:val="650CF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8"/>
  </w:num>
  <w:num w:numId="4">
    <w:abstractNumId w:val="32"/>
  </w:num>
  <w:num w:numId="5">
    <w:abstractNumId w:val="16"/>
  </w:num>
  <w:num w:numId="6">
    <w:abstractNumId w:val="30"/>
  </w:num>
  <w:num w:numId="7">
    <w:abstractNumId w:val="2"/>
  </w:num>
  <w:num w:numId="8">
    <w:abstractNumId w:val="9"/>
  </w:num>
  <w:num w:numId="9">
    <w:abstractNumId w:val="12"/>
  </w:num>
  <w:num w:numId="10">
    <w:abstractNumId w:val="15"/>
  </w:num>
  <w:num w:numId="11">
    <w:abstractNumId w:val="19"/>
  </w:num>
  <w:num w:numId="12">
    <w:abstractNumId w:val="29"/>
  </w:num>
  <w:num w:numId="13">
    <w:abstractNumId w:val="13"/>
  </w:num>
  <w:num w:numId="14">
    <w:abstractNumId w:val="4"/>
  </w:num>
  <w:num w:numId="15">
    <w:abstractNumId w:val="14"/>
  </w:num>
  <w:num w:numId="16">
    <w:abstractNumId w:val="26"/>
  </w:num>
  <w:num w:numId="17">
    <w:abstractNumId w:val="28"/>
  </w:num>
  <w:num w:numId="18">
    <w:abstractNumId w:val="10"/>
  </w:num>
  <w:num w:numId="19">
    <w:abstractNumId w:val="24"/>
  </w:num>
  <w:num w:numId="20">
    <w:abstractNumId w:val="27"/>
  </w:num>
  <w:num w:numId="21">
    <w:abstractNumId w:val="25"/>
  </w:num>
  <w:num w:numId="22">
    <w:abstractNumId w:val="21"/>
  </w:num>
  <w:num w:numId="23">
    <w:abstractNumId w:val="7"/>
  </w:num>
  <w:num w:numId="24">
    <w:abstractNumId w:val="22"/>
  </w:num>
  <w:num w:numId="25">
    <w:abstractNumId w:val="0"/>
  </w:num>
  <w:num w:numId="26">
    <w:abstractNumId w:val="11"/>
  </w:num>
  <w:num w:numId="27">
    <w:abstractNumId w:val="3"/>
  </w:num>
  <w:num w:numId="28">
    <w:abstractNumId w:val="18"/>
  </w:num>
  <w:num w:numId="29">
    <w:abstractNumId w:val="6"/>
  </w:num>
  <w:num w:numId="30">
    <w:abstractNumId w:val="1"/>
  </w:num>
  <w:num w:numId="31">
    <w:abstractNumId w:val="5"/>
  </w:num>
  <w:num w:numId="32">
    <w:abstractNumId w:val="17"/>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defaultTabStop w:val="720"/>
  <w:characterSpacingControl w:val="doNotCompress"/>
  <w:hdrShapeDefaults>
    <o:shapedefaults v:ext="edit" spidmax="295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6904104"/>
    <w:docVar w:name="MPDocIDTemplate" w:val="%l| %n|v%v| %c|.%m"/>
    <w:docVar w:name="MPDocIDTemplateDefault" w:val="%l| %n|v%v| %c|.%m"/>
    <w:docVar w:name="NewDocStampType" w:val="7"/>
    <w:docVar w:name="zzmpTrailerDateFormat" w:val="0"/>
  </w:docVars>
  <w:rsids>
    <w:rsidRoot w:val="008F39FC"/>
    <w:rsid w:val="00000010"/>
    <w:rsid w:val="00000B14"/>
    <w:rsid w:val="00004415"/>
    <w:rsid w:val="000045DA"/>
    <w:rsid w:val="000050E1"/>
    <w:rsid w:val="00005907"/>
    <w:rsid w:val="00005C95"/>
    <w:rsid w:val="000067A3"/>
    <w:rsid w:val="00007BD3"/>
    <w:rsid w:val="00010EE5"/>
    <w:rsid w:val="00013ABA"/>
    <w:rsid w:val="0001465F"/>
    <w:rsid w:val="00016A70"/>
    <w:rsid w:val="00016BE7"/>
    <w:rsid w:val="00020162"/>
    <w:rsid w:val="00021085"/>
    <w:rsid w:val="0002179C"/>
    <w:rsid w:val="00022D64"/>
    <w:rsid w:val="00022F6F"/>
    <w:rsid w:val="000231AA"/>
    <w:rsid w:val="00024A73"/>
    <w:rsid w:val="0002549B"/>
    <w:rsid w:val="00026F82"/>
    <w:rsid w:val="000276CC"/>
    <w:rsid w:val="00030081"/>
    <w:rsid w:val="0003203E"/>
    <w:rsid w:val="0003266C"/>
    <w:rsid w:val="000362CA"/>
    <w:rsid w:val="00036385"/>
    <w:rsid w:val="0003674F"/>
    <w:rsid w:val="000368C9"/>
    <w:rsid w:val="00036B14"/>
    <w:rsid w:val="000370C8"/>
    <w:rsid w:val="000375FE"/>
    <w:rsid w:val="00037626"/>
    <w:rsid w:val="00040131"/>
    <w:rsid w:val="00040217"/>
    <w:rsid w:val="000409F0"/>
    <w:rsid w:val="00040E99"/>
    <w:rsid w:val="00041926"/>
    <w:rsid w:val="00041D63"/>
    <w:rsid w:val="00041EBB"/>
    <w:rsid w:val="00042DEE"/>
    <w:rsid w:val="000438C2"/>
    <w:rsid w:val="00043B17"/>
    <w:rsid w:val="00043C58"/>
    <w:rsid w:val="00044666"/>
    <w:rsid w:val="00044D21"/>
    <w:rsid w:val="0004510F"/>
    <w:rsid w:val="00045260"/>
    <w:rsid w:val="000472B9"/>
    <w:rsid w:val="00051E04"/>
    <w:rsid w:val="0005305D"/>
    <w:rsid w:val="00056C55"/>
    <w:rsid w:val="00056FD5"/>
    <w:rsid w:val="000574E7"/>
    <w:rsid w:val="00057507"/>
    <w:rsid w:val="000578C6"/>
    <w:rsid w:val="00057F0B"/>
    <w:rsid w:val="00061EFF"/>
    <w:rsid w:val="0006286B"/>
    <w:rsid w:val="00063397"/>
    <w:rsid w:val="0006413B"/>
    <w:rsid w:val="00064828"/>
    <w:rsid w:val="000658ED"/>
    <w:rsid w:val="00067600"/>
    <w:rsid w:val="00067725"/>
    <w:rsid w:val="00072553"/>
    <w:rsid w:val="0007290C"/>
    <w:rsid w:val="00072F5E"/>
    <w:rsid w:val="000750AD"/>
    <w:rsid w:val="00077E39"/>
    <w:rsid w:val="000813B3"/>
    <w:rsid w:val="000818E9"/>
    <w:rsid w:val="000822B2"/>
    <w:rsid w:val="00083A3E"/>
    <w:rsid w:val="00083D04"/>
    <w:rsid w:val="000846C9"/>
    <w:rsid w:val="000849D9"/>
    <w:rsid w:val="00085DAA"/>
    <w:rsid w:val="00091C21"/>
    <w:rsid w:val="00091DB4"/>
    <w:rsid w:val="00093497"/>
    <w:rsid w:val="00093D92"/>
    <w:rsid w:val="000953B8"/>
    <w:rsid w:val="00095F87"/>
    <w:rsid w:val="00096A7C"/>
    <w:rsid w:val="00096AD7"/>
    <w:rsid w:val="00097140"/>
    <w:rsid w:val="0009798C"/>
    <w:rsid w:val="00097BEE"/>
    <w:rsid w:val="000A03A1"/>
    <w:rsid w:val="000A072C"/>
    <w:rsid w:val="000A0DAA"/>
    <w:rsid w:val="000A11D8"/>
    <w:rsid w:val="000A1486"/>
    <w:rsid w:val="000A16A3"/>
    <w:rsid w:val="000A216E"/>
    <w:rsid w:val="000A2A19"/>
    <w:rsid w:val="000A335C"/>
    <w:rsid w:val="000A451B"/>
    <w:rsid w:val="000A4A25"/>
    <w:rsid w:val="000A5D90"/>
    <w:rsid w:val="000A5FE3"/>
    <w:rsid w:val="000A61C1"/>
    <w:rsid w:val="000A6ADD"/>
    <w:rsid w:val="000A7784"/>
    <w:rsid w:val="000A7F18"/>
    <w:rsid w:val="000B002B"/>
    <w:rsid w:val="000B0868"/>
    <w:rsid w:val="000B0F47"/>
    <w:rsid w:val="000B19A8"/>
    <w:rsid w:val="000B1C9E"/>
    <w:rsid w:val="000B1D7A"/>
    <w:rsid w:val="000B2A77"/>
    <w:rsid w:val="000B3BA0"/>
    <w:rsid w:val="000B436A"/>
    <w:rsid w:val="000B4915"/>
    <w:rsid w:val="000B5346"/>
    <w:rsid w:val="000B555B"/>
    <w:rsid w:val="000B7469"/>
    <w:rsid w:val="000C01B8"/>
    <w:rsid w:val="000C0F51"/>
    <w:rsid w:val="000C1C4C"/>
    <w:rsid w:val="000C2AFF"/>
    <w:rsid w:val="000C34D6"/>
    <w:rsid w:val="000C43AB"/>
    <w:rsid w:val="000C492E"/>
    <w:rsid w:val="000C7188"/>
    <w:rsid w:val="000C7472"/>
    <w:rsid w:val="000C7B3B"/>
    <w:rsid w:val="000D08BC"/>
    <w:rsid w:val="000D1354"/>
    <w:rsid w:val="000D1FED"/>
    <w:rsid w:val="000D5A25"/>
    <w:rsid w:val="000E017B"/>
    <w:rsid w:val="000E337A"/>
    <w:rsid w:val="000E362E"/>
    <w:rsid w:val="000E4585"/>
    <w:rsid w:val="000E4FC0"/>
    <w:rsid w:val="000E53AB"/>
    <w:rsid w:val="000E64A3"/>
    <w:rsid w:val="000F25D9"/>
    <w:rsid w:val="000F275E"/>
    <w:rsid w:val="000F2D34"/>
    <w:rsid w:val="000F335E"/>
    <w:rsid w:val="000F5104"/>
    <w:rsid w:val="000F66E6"/>
    <w:rsid w:val="000F6E19"/>
    <w:rsid w:val="000F6F27"/>
    <w:rsid w:val="000F741E"/>
    <w:rsid w:val="000F743C"/>
    <w:rsid w:val="000F76A8"/>
    <w:rsid w:val="00101345"/>
    <w:rsid w:val="00101945"/>
    <w:rsid w:val="00102D89"/>
    <w:rsid w:val="001033DE"/>
    <w:rsid w:val="001034C2"/>
    <w:rsid w:val="00103590"/>
    <w:rsid w:val="00103ED0"/>
    <w:rsid w:val="001043BA"/>
    <w:rsid w:val="00104A0B"/>
    <w:rsid w:val="00104E08"/>
    <w:rsid w:val="001052B3"/>
    <w:rsid w:val="001052E2"/>
    <w:rsid w:val="00106C34"/>
    <w:rsid w:val="001076BF"/>
    <w:rsid w:val="00107DFB"/>
    <w:rsid w:val="00110CF3"/>
    <w:rsid w:val="00111539"/>
    <w:rsid w:val="00111B7E"/>
    <w:rsid w:val="0011251B"/>
    <w:rsid w:val="00114C87"/>
    <w:rsid w:val="00115136"/>
    <w:rsid w:val="00115366"/>
    <w:rsid w:val="0011635D"/>
    <w:rsid w:val="00117348"/>
    <w:rsid w:val="001203E7"/>
    <w:rsid w:val="001204DD"/>
    <w:rsid w:val="00121AEE"/>
    <w:rsid w:val="00121BA8"/>
    <w:rsid w:val="00122C3E"/>
    <w:rsid w:val="00124322"/>
    <w:rsid w:val="00124AB6"/>
    <w:rsid w:val="00124BCB"/>
    <w:rsid w:val="0012615E"/>
    <w:rsid w:val="00130187"/>
    <w:rsid w:val="00130D6C"/>
    <w:rsid w:val="00131526"/>
    <w:rsid w:val="00132A1D"/>
    <w:rsid w:val="00132DF2"/>
    <w:rsid w:val="00133A59"/>
    <w:rsid w:val="00134394"/>
    <w:rsid w:val="001344A5"/>
    <w:rsid w:val="00134D48"/>
    <w:rsid w:val="00135B06"/>
    <w:rsid w:val="001376F0"/>
    <w:rsid w:val="00137E4C"/>
    <w:rsid w:val="00142BE1"/>
    <w:rsid w:val="0014479C"/>
    <w:rsid w:val="0014484B"/>
    <w:rsid w:val="001455F4"/>
    <w:rsid w:val="001476A0"/>
    <w:rsid w:val="00147E2E"/>
    <w:rsid w:val="00150D70"/>
    <w:rsid w:val="0015175F"/>
    <w:rsid w:val="00151CB2"/>
    <w:rsid w:val="00152F2D"/>
    <w:rsid w:val="001530B3"/>
    <w:rsid w:val="00153EF7"/>
    <w:rsid w:val="001543D1"/>
    <w:rsid w:val="001545D2"/>
    <w:rsid w:val="00154B26"/>
    <w:rsid w:val="001557A6"/>
    <w:rsid w:val="0015631C"/>
    <w:rsid w:val="00156E89"/>
    <w:rsid w:val="00156F17"/>
    <w:rsid w:val="00160CA9"/>
    <w:rsid w:val="001612D4"/>
    <w:rsid w:val="001616FA"/>
    <w:rsid w:val="00162428"/>
    <w:rsid w:val="001627A6"/>
    <w:rsid w:val="00162972"/>
    <w:rsid w:val="00164259"/>
    <w:rsid w:val="00164BBC"/>
    <w:rsid w:val="001666F7"/>
    <w:rsid w:val="00166D9D"/>
    <w:rsid w:val="001703BF"/>
    <w:rsid w:val="001707F2"/>
    <w:rsid w:val="00171564"/>
    <w:rsid w:val="001718F7"/>
    <w:rsid w:val="00172F11"/>
    <w:rsid w:val="001734DD"/>
    <w:rsid w:val="001736A3"/>
    <w:rsid w:val="00175319"/>
    <w:rsid w:val="0017540A"/>
    <w:rsid w:val="00176125"/>
    <w:rsid w:val="00176ABC"/>
    <w:rsid w:val="001774B2"/>
    <w:rsid w:val="00177635"/>
    <w:rsid w:val="001776C7"/>
    <w:rsid w:val="0018149B"/>
    <w:rsid w:val="00181907"/>
    <w:rsid w:val="001842BA"/>
    <w:rsid w:val="00184C68"/>
    <w:rsid w:val="00186574"/>
    <w:rsid w:val="001868D5"/>
    <w:rsid w:val="00187227"/>
    <w:rsid w:val="00187CF0"/>
    <w:rsid w:val="0019099A"/>
    <w:rsid w:val="001911C9"/>
    <w:rsid w:val="001914C5"/>
    <w:rsid w:val="001924F3"/>
    <w:rsid w:val="001926BD"/>
    <w:rsid w:val="00192A49"/>
    <w:rsid w:val="00193165"/>
    <w:rsid w:val="001933E6"/>
    <w:rsid w:val="001944C6"/>
    <w:rsid w:val="00194E27"/>
    <w:rsid w:val="00194FA5"/>
    <w:rsid w:val="00195EC6"/>
    <w:rsid w:val="00196094"/>
    <w:rsid w:val="0019686C"/>
    <w:rsid w:val="001968B8"/>
    <w:rsid w:val="00197133"/>
    <w:rsid w:val="00197D9B"/>
    <w:rsid w:val="001A1B32"/>
    <w:rsid w:val="001A23AE"/>
    <w:rsid w:val="001A3C31"/>
    <w:rsid w:val="001A5364"/>
    <w:rsid w:val="001A5A8A"/>
    <w:rsid w:val="001A6E74"/>
    <w:rsid w:val="001A72C7"/>
    <w:rsid w:val="001A78A2"/>
    <w:rsid w:val="001A79BA"/>
    <w:rsid w:val="001B0B2A"/>
    <w:rsid w:val="001B14A2"/>
    <w:rsid w:val="001B258E"/>
    <w:rsid w:val="001B2B3F"/>
    <w:rsid w:val="001B3C42"/>
    <w:rsid w:val="001B4387"/>
    <w:rsid w:val="001B45A9"/>
    <w:rsid w:val="001B48D0"/>
    <w:rsid w:val="001B4CB8"/>
    <w:rsid w:val="001B5C40"/>
    <w:rsid w:val="001B6624"/>
    <w:rsid w:val="001B6827"/>
    <w:rsid w:val="001B6950"/>
    <w:rsid w:val="001B726C"/>
    <w:rsid w:val="001B73D4"/>
    <w:rsid w:val="001B73DE"/>
    <w:rsid w:val="001B745D"/>
    <w:rsid w:val="001C0442"/>
    <w:rsid w:val="001C09FA"/>
    <w:rsid w:val="001C0E78"/>
    <w:rsid w:val="001C2067"/>
    <w:rsid w:val="001C2170"/>
    <w:rsid w:val="001C22CD"/>
    <w:rsid w:val="001C2E23"/>
    <w:rsid w:val="001C4224"/>
    <w:rsid w:val="001C55EC"/>
    <w:rsid w:val="001C5912"/>
    <w:rsid w:val="001C6CAE"/>
    <w:rsid w:val="001D02A5"/>
    <w:rsid w:val="001D25E6"/>
    <w:rsid w:val="001D3C27"/>
    <w:rsid w:val="001D404F"/>
    <w:rsid w:val="001D4424"/>
    <w:rsid w:val="001D44B4"/>
    <w:rsid w:val="001D4F80"/>
    <w:rsid w:val="001D628D"/>
    <w:rsid w:val="001D66F3"/>
    <w:rsid w:val="001E119E"/>
    <w:rsid w:val="001E1301"/>
    <w:rsid w:val="001E188D"/>
    <w:rsid w:val="001E1F8D"/>
    <w:rsid w:val="001E1FF2"/>
    <w:rsid w:val="001E3935"/>
    <w:rsid w:val="001E3F50"/>
    <w:rsid w:val="001E3F79"/>
    <w:rsid w:val="001E4EC6"/>
    <w:rsid w:val="001E6288"/>
    <w:rsid w:val="001F0C8E"/>
    <w:rsid w:val="001F0E20"/>
    <w:rsid w:val="001F1105"/>
    <w:rsid w:val="001F1465"/>
    <w:rsid w:val="001F35ED"/>
    <w:rsid w:val="001F3AE5"/>
    <w:rsid w:val="001F4224"/>
    <w:rsid w:val="001F5FAD"/>
    <w:rsid w:val="001F66ED"/>
    <w:rsid w:val="001F7690"/>
    <w:rsid w:val="00200198"/>
    <w:rsid w:val="0020028E"/>
    <w:rsid w:val="0020116C"/>
    <w:rsid w:val="002035B2"/>
    <w:rsid w:val="0020444B"/>
    <w:rsid w:val="002071E4"/>
    <w:rsid w:val="00207F74"/>
    <w:rsid w:val="0021062E"/>
    <w:rsid w:val="002113A2"/>
    <w:rsid w:val="002118C5"/>
    <w:rsid w:val="00211D76"/>
    <w:rsid w:val="00211FDE"/>
    <w:rsid w:val="00217097"/>
    <w:rsid w:val="0021743E"/>
    <w:rsid w:val="00220FDF"/>
    <w:rsid w:val="00221F49"/>
    <w:rsid w:val="00222D3C"/>
    <w:rsid w:val="002242B7"/>
    <w:rsid w:val="00224EAC"/>
    <w:rsid w:val="00225DA4"/>
    <w:rsid w:val="00225F82"/>
    <w:rsid w:val="002260F1"/>
    <w:rsid w:val="00230030"/>
    <w:rsid w:val="00231185"/>
    <w:rsid w:val="002312F3"/>
    <w:rsid w:val="0023199D"/>
    <w:rsid w:val="0023265A"/>
    <w:rsid w:val="0023474F"/>
    <w:rsid w:val="002348CB"/>
    <w:rsid w:val="00234F49"/>
    <w:rsid w:val="0023514E"/>
    <w:rsid w:val="0023534B"/>
    <w:rsid w:val="00236324"/>
    <w:rsid w:val="00236F18"/>
    <w:rsid w:val="002376DD"/>
    <w:rsid w:val="0023799C"/>
    <w:rsid w:val="0024037D"/>
    <w:rsid w:val="00241CF9"/>
    <w:rsid w:val="00243E62"/>
    <w:rsid w:val="002441B5"/>
    <w:rsid w:val="00245189"/>
    <w:rsid w:val="00245E2C"/>
    <w:rsid w:val="00246A6B"/>
    <w:rsid w:val="00247674"/>
    <w:rsid w:val="00250169"/>
    <w:rsid w:val="00250C81"/>
    <w:rsid w:val="002519C9"/>
    <w:rsid w:val="0025292D"/>
    <w:rsid w:val="00252AC2"/>
    <w:rsid w:val="0025383F"/>
    <w:rsid w:val="0025527F"/>
    <w:rsid w:val="00255487"/>
    <w:rsid w:val="00255BBB"/>
    <w:rsid w:val="0025635B"/>
    <w:rsid w:val="002566E7"/>
    <w:rsid w:val="00257F17"/>
    <w:rsid w:val="00261D87"/>
    <w:rsid w:val="002622D6"/>
    <w:rsid w:val="002628E6"/>
    <w:rsid w:val="00263E0E"/>
    <w:rsid w:val="00264429"/>
    <w:rsid w:val="002648D5"/>
    <w:rsid w:val="0026505F"/>
    <w:rsid w:val="0026558A"/>
    <w:rsid w:val="002666D3"/>
    <w:rsid w:val="00266AAF"/>
    <w:rsid w:val="00266FFB"/>
    <w:rsid w:val="00267A96"/>
    <w:rsid w:val="002707BF"/>
    <w:rsid w:val="00270B86"/>
    <w:rsid w:val="00270D72"/>
    <w:rsid w:val="00271261"/>
    <w:rsid w:val="002749C1"/>
    <w:rsid w:val="00276141"/>
    <w:rsid w:val="00276561"/>
    <w:rsid w:val="002778E0"/>
    <w:rsid w:val="00280595"/>
    <w:rsid w:val="00281149"/>
    <w:rsid w:val="002812F3"/>
    <w:rsid w:val="00281B25"/>
    <w:rsid w:val="00282B46"/>
    <w:rsid w:val="00282D8E"/>
    <w:rsid w:val="0028421A"/>
    <w:rsid w:val="00284ABE"/>
    <w:rsid w:val="00284C3A"/>
    <w:rsid w:val="002872C5"/>
    <w:rsid w:val="002873B6"/>
    <w:rsid w:val="002874F9"/>
    <w:rsid w:val="00287BE8"/>
    <w:rsid w:val="00287E1A"/>
    <w:rsid w:val="0029124B"/>
    <w:rsid w:val="00292296"/>
    <w:rsid w:val="0029280F"/>
    <w:rsid w:val="00292918"/>
    <w:rsid w:val="0029298B"/>
    <w:rsid w:val="00292D12"/>
    <w:rsid w:val="00292D3C"/>
    <w:rsid w:val="00293E04"/>
    <w:rsid w:val="00294623"/>
    <w:rsid w:val="00295C60"/>
    <w:rsid w:val="00296163"/>
    <w:rsid w:val="002965B7"/>
    <w:rsid w:val="00297B5D"/>
    <w:rsid w:val="002A0BFF"/>
    <w:rsid w:val="002A0E76"/>
    <w:rsid w:val="002A1314"/>
    <w:rsid w:val="002A17BC"/>
    <w:rsid w:val="002A1F84"/>
    <w:rsid w:val="002A2D21"/>
    <w:rsid w:val="002A3037"/>
    <w:rsid w:val="002A4326"/>
    <w:rsid w:val="002A4349"/>
    <w:rsid w:val="002A448A"/>
    <w:rsid w:val="002A4547"/>
    <w:rsid w:val="002A47D8"/>
    <w:rsid w:val="002A4E3F"/>
    <w:rsid w:val="002A5104"/>
    <w:rsid w:val="002A55F3"/>
    <w:rsid w:val="002A6AB9"/>
    <w:rsid w:val="002A7400"/>
    <w:rsid w:val="002A75B4"/>
    <w:rsid w:val="002A7609"/>
    <w:rsid w:val="002A78C0"/>
    <w:rsid w:val="002B0775"/>
    <w:rsid w:val="002B10B9"/>
    <w:rsid w:val="002B114B"/>
    <w:rsid w:val="002B222A"/>
    <w:rsid w:val="002B2473"/>
    <w:rsid w:val="002B2532"/>
    <w:rsid w:val="002B29CB"/>
    <w:rsid w:val="002B303B"/>
    <w:rsid w:val="002B3CAD"/>
    <w:rsid w:val="002B4509"/>
    <w:rsid w:val="002B561A"/>
    <w:rsid w:val="002B6402"/>
    <w:rsid w:val="002C0660"/>
    <w:rsid w:val="002C07A1"/>
    <w:rsid w:val="002C11DF"/>
    <w:rsid w:val="002C1223"/>
    <w:rsid w:val="002C1E23"/>
    <w:rsid w:val="002C258B"/>
    <w:rsid w:val="002C44A2"/>
    <w:rsid w:val="002C4F5B"/>
    <w:rsid w:val="002C556B"/>
    <w:rsid w:val="002C5878"/>
    <w:rsid w:val="002D0332"/>
    <w:rsid w:val="002D089D"/>
    <w:rsid w:val="002D1948"/>
    <w:rsid w:val="002D2AEF"/>
    <w:rsid w:val="002D3B34"/>
    <w:rsid w:val="002D43C7"/>
    <w:rsid w:val="002D4D99"/>
    <w:rsid w:val="002D51E5"/>
    <w:rsid w:val="002D5515"/>
    <w:rsid w:val="002D662F"/>
    <w:rsid w:val="002D778F"/>
    <w:rsid w:val="002D792A"/>
    <w:rsid w:val="002D7A1A"/>
    <w:rsid w:val="002E2307"/>
    <w:rsid w:val="002E41E9"/>
    <w:rsid w:val="002E46CB"/>
    <w:rsid w:val="002E7FFD"/>
    <w:rsid w:val="002F06BF"/>
    <w:rsid w:val="002F13D1"/>
    <w:rsid w:val="002F1504"/>
    <w:rsid w:val="002F1811"/>
    <w:rsid w:val="002F2780"/>
    <w:rsid w:val="002F2FD1"/>
    <w:rsid w:val="002F370B"/>
    <w:rsid w:val="002F4286"/>
    <w:rsid w:val="00301605"/>
    <w:rsid w:val="00304629"/>
    <w:rsid w:val="00304E25"/>
    <w:rsid w:val="003103C2"/>
    <w:rsid w:val="00311229"/>
    <w:rsid w:val="003117F7"/>
    <w:rsid w:val="00311B89"/>
    <w:rsid w:val="00311C25"/>
    <w:rsid w:val="003123A3"/>
    <w:rsid w:val="00314142"/>
    <w:rsid w:val="0031444E"/>
    <w:rsid w:val="00316410"/>
    <w:rsid w:val="00316497"/>
    <w:rsid w:val="0032001F"/>
    <w:rsid w:val="003207D7"/>
    <w:rsid w:val="0032100F"/>
    <w:rsid w:val="0032111D"/>
    <w:rsid w:val="00321866"/>
    <w:rsid w:val="00322A96"/>
    <w:rsid w:val="00322CA3"/>
    <w:rsid w:val="00322FEF"/>
    <w:rsid w:val="003232B5"/>
    <w:rsid w:val="00324A2B"/>
    <w:rsid w:val="003250F5"/>
    <w:rsid w:val="00325549"/>
    <w:rsid w:val="0032631C"/>
    <w:rsid w:val="0032737C"/>
    <w:rsid w:val="003275DB"/>
    <w:rsid w:val="00327DD4"/>
    <w:rsid w:val="0033049C"/>
    <w:rsid w:val="003311D3"/>
    <w:rsid w:val="00331D2E"/>
    <w:rsid w:val="00340BFC"/>
    <w:rsid w:val="00340C8B"/>
    <w:rsid w:val="00340F12"/>
    <w:rsid w:val="003419F1"/>
    <w:rsid w:val="00343810"/>
    <w:rsid w:val="00343FEC"/>
    <w:rsid w:val="003446A1"/>
    <w:rsid w:val="00345E5A"/>
    <w:rsid w:val="00346686"/>
    <w:rsid w:val="0034751E"/>
    <w:rsid w:val="00351F40"/>
    <w:rsid w:val="00352B65"/>
    <w:rsid w:val="00352BAC"/>
    <w:rsid w:val="00352DC0"/>
    <w:rsid w:val="00355980"/>
    <w:rsid w:val="00357000"/>
    <w:rsid w:val="0036053B"/>
    <w:rsid w:val="003615C5"/>
    <w:rsid w:val="0036234B"/>
    <w:rsid w:val="00362C37"/>
    <w:rsid w:val="003631A0"/>
    <w:rsid w:val="00363907"/>
    <w:rsid w:val="0036393E"/>
    <w:rsid w:val="00365339"/>
    <w:rsid w:val="003676DC"/>
    <w:rsid w:val="00370971"/>
    <w:rsid w:val="003719B9"/>
    <w:rsid w:val="0037236F"/>
    <w:rsid w:val="00373A33"/>
    <w:rsid w:val="00374D40"/>
    <w:rsid w:val="0037514B"/>
    <w:rsid w:val="00376281"/>
    <w:rsid w:val="003773F7"/>
    <w:rsid w:val="00377BA1"/>
    <w:rsid w:val="00377F7E"/>
    <w:rsid w:val="00380863"/>
    <w:rsid w:val="003815D8"/>
    <w:rsid w:val="003868B8"/>
    <w:rsid w:val="00386E68"/>
    <w:rsid w:val="0038715E"/>
    <w:rsid w:val="003876C1"/>
    <w:rsid w:val="00393F1B"/>
    <w:rsid w:val="003940DC"/>
    <w:rsid w:val="00394FA2"/>
    <w:rsid w:val="0039537C"/>
    <w:rsid w:val="00396E92"/>
    <w:rsid w:val="00397BE2"/>
    <w:rsid w:val="003A009D"/>
    <w:rsid w:val="003A00CD"/>
    <w:rsid w:val="003A065B"/>
    <w:rsid w:val="003A07DB"/>
    <w:rsid w:val="003A0B54"/>
    <w:rsid w:val="003A2140"/>
    <w:rsid w:val="003A268D"/>
    <w:rsid w:val="003A2947"/>
    <w:rsid w:val="003A30C0"/>
    <w:rsid w:val="003A3875"/>
    <w:rsid w:val="003A3F14"/>
    <w:rsid w:val="003A54C1"/>
    <w:rsid w:val="003A5672"/>
    <w:rsid w:val="003A5C95"/>
    <w:rsid w:val="003A61CE"/>
    <w:rsid w:val="003A6C11"/>
    <w:rsid w:val="003A7033"/>
    <w:rsid w:val="003A7282"/>
    <w:rsid w:val="003A7589"/>
    <w:rsid w:val="003B058A"/>
    <w:rsid w:val="003B0930"/>
    <w:rsid w:val="003B0AA8"/>
    <w:rsid w:val="003B152C"/>
    <w:rsid w:val="003B1A17"/>
    <w:rsid w:val="003B1C3A"/>
    <w:rsid w:val="003B4CAC"/>
    <w:rsid w:val="003B57FF"/>
    <w:rsid w:val="003B7F2A"/>
    <w:rsid w:val="003C044C"/>
    <w:rsid w:val="003C04B0"/>
    <w:rsid w:val="003C0761"/>
    <w:rsid w:val="003C25E2"/>
    <w:rsid w:val="003C2A22"/>
    <w:rsid w:val="003C46E5"/>
    <w:rsid w:val="003C5436"/>
    <w:rsid w:val="003C6F9C"/>
    <w:rsid w:val="003D03F0"/>
    <w:rsid w:val="003D0478"/>
    <w:rsid w:val="003D41E2"/>
    <w:rsid w:val="003D4C64"/>
    <w:rsid w:val="003D4E6D"/>
    <w:rsid w:val="003D53E0"/>
    <w:rsid w:val="003D5FED"/>
    <w:rsid w:val="003E033C"/>
    <w:rsid w:val="003E03BE"/>
    <w:rsid w:val="003E12E2"/>
    <w:rsid w:val="003E1F57"/>
    <w:rsid w:val="003E35E9"/>
    <w:rsid w:val="003E42D8"/>
    <w:rsid w:val="003E585C"/>
    <w:rsid w:val="003E58CC"/>
    <w:rsid w:val="003E654E"/>
    <w:rsid w:val="003F0C84"/>
    <w:rsid w:val="003F2D2C"/>
    <w:rsid w:val="003F3858"/>
    <w:rsid w:val="003F3AD7"/>
    <w:rsid w:val="003F3ECC"/>
    <w:rsid w:val="003F40EB"/>
    <w:rsid w:val="003F41E4"/>
    <w:rsid w:val="003F53A4"/>
    <w:rsid w:val="003F7575"/>
    <w:rsid w:val="003F7D7E"/>
    <w:rsid w:val="004007E9"/>
    <w:rsid w:val="00401994"/>
    <w:rsid w:val="004021DD"/>
    <w:rsid w:val="004024F1"/>
    <w:rsid w:val="00402A61"/>
    <w:rsid w:val="00402CE4"/>
    <w:rsid w:val="004039AD"/>
    <w:rsid w:val="00404047"/>
    <w:rsid w:val="0040637D"/>
    <w:rsid w:val="00406743"/>
    <w:rsid w:val="00411EB0"/>
    <w:rsid w:val="004149AF"/>
    <w:rsid w:val="00414A27"/>
    <w:rsid w:val="00414E5E"/>
    <w:rsid w:val="004153CC"/>
    <w:rsid w:val="0041646B"/>
    <w:rsid w:val="00416650"/>
    <w:rsid w:val="0041734B"/>
    <w:rsid w:val="00417760"/>
    <w:rsid w:val="004215F7"/>
    <w:rsid w:val="00423106"/>
    <w:rsid w:val="00423B2B"/>
    <w:rsid w:val="00424A73"/>
    <w:rsid w:val="00426045"/>
    <w:rsid w:val="004277F4"/>
    <w:rsid w:val="00427948"/>
    <w:rsid w:val="00427CBA"/>
    <w:rsid w:val="00430484"/>
    <w:rsid w:val="004326D2"/>
    <w:rsid w:val="00432E37"/>
    <w:rsid w:val="00434745"/>
    <w:rsid w:val="00436729"/>
    <w:rsid w:val="004371B7"/>
    <w:rsid w:val="004376E0"/>
    <w:rsid w:val="00437877"/>
    <w:rsid w:val="00437D09"/>
    <w:rsid w:val="0044068B"/>
    <w:rsid w:val="00441007"/>
    <w:rsid w:val="00442873"/>
    <w:rsid w:val="00442A83"/>
    <w:rsid w:val="00443FD9"/>
    <w:rsid w:val="00446E3B"/>
    <w:rsid w:val="004470A7"/>
    <w:rsid w:val="004478AC"/>
    <w:rsid w:val="00447BA5"/>
    <w:rsid w:val="00450118"/>
    <w:rsid w:val="004506C3"/>
    <w:rsid w:val="00450BD9"/>
    <w:rsid w:val="0045112D"/>
    <w:rsid w:val="00452082"/>
    <w:rsid w:val="004523B5"/>
    <w:rsid w:val="004531F4"/>
    <w:rsid w:val="004539A2"/>
    <w:rsid w:val="00453FD9"/>
    <w:rsid w:val="004545A3"/>
    <w:rsid w:val="0045502A"/>
    <w:rsid w:val="004576B2"/>
    <w:rsid w:val="00460287"/>
    <w:rsid w:val="0046067B"/>
    <w:rsid w:val="00460F72"/>
    <w:rsid w:val="00461251"/>
    <w:rsid w:val="004618B7"/>
    <w:rsid w:val="0046468C"/>
    <w:rsid w:val="00464CF9"/>
    <w:rsid w:val="00465F41"/>
    <w:rsid w:val="00466E41"/>
    <w:rsid w:val="004677D9"/>
    <w:rsid w:val="00471F21"/>
    <w:rsid w:val="0047229F"/>
    <w:rsid w:val="004722A7"/>
    <w:rsid w:val="00472867"/>
    <w:rsid w:val="00473790"/>
    <w:rsid w:val="00473910"/>
    <w:rsid w:val="00474316"/>
    <w:rsid w:val="00475610"/>
    <w:rsid w:val="00475DF2"/>
    <w:rsid w:val="00476036"/>
    <w:rsid w:val="004775FE"/>
    <w:rsid w:val="00477DC7"/>
    <w:rsid w:val="0048168A"/>
    <w:rsid w:val="0048196D"/>
    <w:rsid w:val="00482D37"/>
    <w:rsid w:val="004839D2"/>
    <w:rsid w:val="00485BD5"/>
    <w:rsid w:val="00485D4A"/>
    <w:rsid w:val="004863CD"/>
    <w:rsid w:val="00486454"/>
    <w:rsid w:val="004902EA"/>
    <w:rsid w:val="0049140E"/>
    <w:rsid w:val="0049218E"/>
    <w:rsid w:val="00494122"/>
    <w:rsid w:val="004941C4"/>
    <w:rsid w:val="00494FAC"/>
    <w:rsid w:val="00495124"/>
    <w:rsid w:val="00495BBC"/>
    <w:rsid w:val="00496007"/>
    <w:rsid w:val="0049700A"/>
    <w:rsid w:val="004A05E6"/>
    <w:rsid w:val="004A16ED"/>
    <w:rsid w:val="004A1B75"/>
    <w:rsid w:val="004A2729"/>
    <w:rsid w:val="004A3AA1"/>
    <w:rsid w:val="004A3C43"/>
    <w:rsid w:val="004A4B8E"/>
    <w:rsid w:val="004A540C"/>
    <w:rsid w:val="004A5502"/>
    <w:rsid w:val="004A5B49"/>
    <w:rsid w:val="004A5F2A"/>
    <w:rsid w:val="004A700C"/>
    <w:rsid w:val="004B0185"/>
    <w:rsid w:val="004B1EFB"/>
    <w:rsid w:val="004B4A61"/>
    <w:rsid w:val="004B504C"/>
    <w:rsid w:val="004B64FE"/>
    <w:rsid w:val="004C08CC"/>
    <w:rsid w:val="004C1DC8"/>
    <w:rsid w:val="004C1E82"/>
    <w:rsid w:val="004C1F3C"/>
    <w:rsid w:val="004C2299"/>
    <w:rsid w:val="004C3059"/>
    <w:rsid w:val="004C36B6"/>
    <w:rsid w:val="004C4601"/>
    <w:rsid w:val="004C4D4F"/>
    <w:rsid w:val="004C597A"/>
    <w:rsid w:val="004C5A96"/>
    <w:rsid w:val="004C61FF"/>
    <w:rsid w:val="004C6E9D"/>
    <w:rsid w:val="004C7CE1"/>
    <w:rsid w:val="004D0227"/>
    <w:rsid w:val="004D4086"/>
    <w:rsid w:val="004D44B1"/>
    <w:rsid w:val="004D6114"/>
    <w:rsid w:val="004D74FE"/>
    <w:rsid w:val="004E0784"/>
    <w:rsid w:val="004E08CE"/>
    <w:rsid w:val="004E09D6"/>
    <w:rsid w:val="004E170A"/>
    <w:rsid w:val="004E2891"/>
    <w:rsid w:val="004E2A9B"/>
    <w:rsid w:val="004E36ED"/>
    <w:rsid w:val="004E38C7"/>
    <w:rsid w:val="004E3BD7"/>
    <w:rsid w:val="004E43DD"/>
    <w:rsid w:val="004E5D62"/>
    <w:rsid w:val="004E7981"/>
    <w:rsid w:val="004F0446"/>
    <w:rsid w:val="004F14AB"/>
    <w:rsid w:val="004F1557"/>
    <w:rsid w:val="004F1795"/>
    <w:rsid w:val="004F3CEE"/>
    <w:rsid w:val="004F5DE2"/>
    <w:rsid w:val="004F63AD"/>
    <w:rsid w:val="004F7248"/>
    <w:rsid w:val="004F75CB"/>
    <w:rsid w:val="004F7945"/>
    <w:rsid w:val="005003AA"/>
    <w:rsid w:val="0050057F"/>
    <w:rsid w:val="00500EEF"/>
    <w:rsid w:val="00500F24"/>
    <w:rsid w:val="00501257"/>
    <w:rsid w:val="00501C27"/>
    <w:rsid w:val="005026AD"/>
    <w:rsid w:val="00504110"/>
    <w:rsid w:val="00505F35"/>
    <w:rsid w:val="00506FB4"/>
    <w:rsid w:val="00507084"/>
    <w:rsid w:val="005072EF"/>
    <w:rsid w:val="00507745"/>
    <w:rsid w:val="00507D24"/>
    <w:rsid w:val="00511360"/>
    <w:rsid w:val="005116E0"/>
    <w:rsid w:val="00511870"/>
    <w:rsid w:val="00513389"/>
    <w:rsid w:val="00513A02"/>
    <w:rsid w:val="005145F2"/>
    <w:rsid w:val="005149A2"/>
    <w:rsid w:val="00515016"/>
    <w:rsid w:val="00515C74"/>
    <w:rsid w:val="00516CEC"/>
    <w:rsid w:val="00517384"/>
    <w:rsid w:val="005173EB"/>
    <w:rsid w:val="005179FD"/>
    <w:rsid w:val="00517C31"/>
    <w:rsid w:val="00517F78"/>
    <w:rsid w:val="0052104D"/>
    <w:rsid w:val="005231A3"/>
    <w:rsid w:val="00523634"/>
    <w:rsid w:val="005250B7"/>
    <w:rsid w:val="005251BD"/>
    <w:rsid w:val="0052579A"/>
    <w:rsid w:val="0052681A"/>
    <w:rsid w:val="005269F3"/>
    <w:rsid w:val="005275B3"/>
    <w:rsid w:val="005275BF"/>
    <w:rsid w:val="00527E93"/>
    <w:rsid w:val="0053039D"/>
    <w:rsid w:val="00530860"/>
    <w:rsid w:val="00531EB7"/>
    <w:rsid w:val="00532140"/>
    <w:rsid w:val="0053241E"/>
    <w:rsid w:val="00533D18"/>
    <w:rsid w:val="005347D0"/>
    <w:rsid w:val="00534B1F"/>
    <w:rsid w:val="00535320"/>
    <w:rsid w:val="00535FFB"/>
    <w:rsid w:val="00536701"/>
    <w:rsid w:val="00536B09"/>
    <w:rsid w:val="00536FCF"/>
    <w:rsid w:val="00537363"/>
    <w:rsid w:val="00537E48"/>
    <w:rsid w:val="005408D0"/>
    <w:rsid w:val="00541672"/>
    <w:rsid w:val="00547911"/>
    <w:rsid w:val="005505D4"/>
    <w:rsid w:val="0055146B"/>
    <w:rsid w:val="005517AF"/>
    <w:rsid w:val="00551E24"/>
    <w:rsid w:val="005522AD"/>
    <w:rsid w:val="005522CB"/>
    <w:rsid w:val="00553050"/>
    <w:rsid w:val="00553824"/>
    <w:rsid w:val="0055400B"/>
    <w:rsid w:val="00555405"/>
    <w:rsid w:val="00556B80"/>
    <w:rsid w:val="00557E82"/>
    <w:rsid w:val="00561B14"/>
    <w:rsid w:val="00561E18"/>
    <w:rsid w:val="00562940"/>
    <w:rsid w:val="0056395F"/>
    <w:rsid w:val="00564774"/>
    <w:rsid w:val="00564795"/>
    <w:rsid w:val="0056481A"/>
    <w:rsid w:val="00564FAA"/>
    <w:rsid w:val="005667EF"/>
    <w:rsid w:val="00567290"/>
    <w:rsid w:val="005715C5"/>
    <w:rsid w:val="00572774"/>
    <w:rsid w:val="005727D1"/>
    <w:rsid w:val="005736DD"/>
    <w:rsid w:val="00573C2A"/>
    <w:rsid w:val="00574827"/>
    <w:rsid w:val="005757AC"/>
    <w:rsid w:val="00575980"/>
    <w:rsid w:val="00576471"/>
    <w:rsid w:val="00576D7B"/>
    <w:rsid w:val="0057735E"/>
    <w:rsid w:val="00577BB5"/>
    <w:rsid w:val="00580BF1"/>
    <w:rsid w:val="00581236"/>
    <w:rsid w:val="005816CC"/>
    <w:rsid w:val="005821A5"/>
    <w:rsid w:val="00582BBF"/>
    <w:rsid w:val="00583375"/>
    <w:rsid w:val="00585747"/>
    <w:rsid w:val="005863E0"/>
    <w:rsid w:val="0058642B"/>
    <w:rsid w:val="00586518"/>
    <w:rsid w:val="0058669C"/>
    <w:rsid w:val="0058673F"/>
    <w:rsid w:val="005871E1"/>
    <w:rsid w:val="00592B62"/>
    <w:rsid w:val="00593BD0"/>
    <w:rsid w:val="00594776"/>
    <w:rsid w:val="00594F6E"/>
    <w:rsid w:val="00595642"/>
    <w:rsid w:val="005965E3"/>
    <w:rsid w:val="00596C41"/>
    <w:rsid w:val="00597FDA"/>
    <w:rsid w:val="005A0D19"/>
    <w:rsid w:val="005A1465"/>
    <w:rsid w:val="005A1DE5"/>
    <w:rsid w:val="005A4027"/>
    <w:rsid w:val="005A430C"/>
    <w:rsid w:val="005A4526"/>
    <w:rsid w:val="005A4CCC"/>
    <w:rsid w:val="005A6ACC"/>
    <w:rsid w:val="005B0783"/>
    <w:rsid w:val="005B2DDE"/>
    <w:rsid w:val="005B362B"/>
    <w:rsid w:val="005B3CC2"/>
    <w:rsid w:val="005B4A27"/>
    <w:rsid w:val="005B5DE3"/>
    <w:rsid w:val="005B75A1"/>
    <w:rsid w:val="005B7A3F"/>
    <w:rsid w:val="005C06A8"/>
    <w:rsid w:val="005C06B8"/>
    <w:rsid w:val="005C3539"/>
    <w:rsid w:val="005C4501"/>
    <w:rsid w:val="005C479A"/>
    <w:rsid w:val="005C49C4"/>
    <w:rsid w:val="005C671D"/>
    <w:rsid w:val="005D04D7"/>
    <w:rsid w:val="005D23C2"/>
    <w:rsid w:val="005D2618"/>
    <w:rsid w:val="005D377B"/>
    <w:rsid w:val="005D46BD"/>
    <w:rsid w:val="005D5D11"/>
    <w:rsid w:val="005D677E"/>
    <w:rsid w:val="005E178E"/>
    <w:rsid w:val="005E2E2C"/>
    <w:rsid w:val="005E5E49"/>
    <w:rsid w:val="005E64A2"/>
    <w:rsid w:val="005E69AE"/>
    <w:rsid w:val="005E6B57"/>
    <w:rsid w:val="005E72B4"/>
    <w:rsid w:val="005E7F27"/>
    <w:rsid w:val="005F08B8"/>
    <w:rsid w:val="005F1762"/>
    <w:rsid w:val="005F2F9F"/>
    <w:rsid w:val="005F3AEB"/>
    <w:rsid w:val="005F3C87"/>
    <w:rsid w:val="005F55D3"/>
    <w:rsid w:val="005F5788"/>
    <w:rsid w:val="005F581B"/>
    <w:rsid w:val="005F6986"/>
    <w:rsid w:val="005F74BA"/>
    <w:rsid w:val="00600378"/>
    <w:rsid w:val="006009E3"/>
    <w:rsid w:val="00601A4F"/>
    <w:rsid w:val="00602A1A"/>
    <w:rsid w:val="00602A5C"/>
    <w:rsid w:val="00604D71"/>
    <w:rsid w:val="006060DA"/>
    <w:rsid w:val="006065E0"/>
    <w:rsid w:val="00606983"/>
    <w:rsid w:val="00606B2B"/>
    <w:rsid w:val="00607002"/>
    <w:rsid w:val="00610B22"/>
    <w:rsid w:val="006113B0"/>
    <w:rsid w:val="00612465"/>
    <w:rsid w:val="006131AF"/>
    <w:rsid w:val="00613E72"/>
    <w:rsid w:val="00614FD0"/>
    <w:rsid w:val="0061637C"/>
    <w:rsid w:val="00616D5C"/>
    <w:rsid w:val="0062050E"/>
    <w:rsid w:val="00620605"/>
    <w:rsid w:val="00622A13"/>
    <w:rsid w:val="00623178"/>
    <w:rsid w:val="006234FA"/>
    <w:rsid w:val="00624226"/>
    <w:rsid w:val="00624B0C"/>
    <w:rsid w:val="00630002"/>
    <w:rsid w:val="00630571"/>
    <w:rsid w:val="006307E2"/>
    <w:rsid w:val="006334E8"/>
    <w:rsid w:val="00633B01"/>
    <w:rsid w:val="00633DF1"/>
    <w:rsid w:val="00633E3B"/>
    <w:rsid w:val="00634F6E"/>
    <w:rsid w:val="00636772"/>
    <w:rsid w:val="006369BF"/>
    <w:rsid w:val="00640AD8"/>
    <w:rsid w:val="00642630"/>
    <w:rsid w:val="00643BD2"/>
    <w:rsid w:val="00643CE8"/>
    <w:rsid w:val="00646638"/>
    <w:rsid w:val="0064695E"/>
    <w:rsid w:val="00646F0E"/>
    <w:rsid w:val="0064715C"/>
    <w:rsid w:val="006476C2"/>
    <w:rsid w:val="0065007A"/>
    <w:rsid w:val="00650585"/>
    <w:rsid w:val="00650C96"/>
    <w:rsid w:val="00650D4C"/>
    <w:rsid w:val="006512AD"/>
    <w:rsid w:val="00651DD6"/>
    <w:rsid w:val="00653180"/>
    <w:rsid w:val="006549EE"/>
    <w:rsid w:val="006549F0"/>
    <w:rsid w:val="00654F1D"/>
    <w:rsid w:val="00654FBA"/>
    <w:rsid w:val="00655B3D"/>
    <w:rsid w:val="00656BD4"/>
    <w:rsid w:val="006574C8"/>
    <w:rsid w:val="00657AE2"/>
    <w:rsid w:val="0066068B"/>
    <w:rsid w:val="0066083F"/>
    <w:rsid w:val="006609B6"/>
    <w:rsid w:val="00661FB0"/>
    <w:rsid w:val="00662FDE"/>
    <w:rsid w:val="00663861"/>
    <w:rsid w:val="00663B76"/>
    <w:rsid w:val="00663B77"/>
    <w:rsid w:val="006644D0"/>
    <w:rsid w:val="006645FF"/>
    <w:rsid w:val="00667444"/>
    <w:rsid w:val="00667530"/>
    <w:rsid w:val="00667670"/>
    <w:rsid w:val="00670057"/>
    <w:rsid w:val="00670D18"/>
    <w:rsid w:val="006710A6"/>
    <w:rsid w:val="0067206C"/>
    <w:rsid w:val="006734D9"/>
    <w:rsid w:val="006744C4"/>
    <w:rsid w:val="006757E7"/>
    <w:rsid w:val="006763BB"/>
    <w:rsid w:val="0067752F"/>
    <w:rsid w:val="00680305"/>
    <w:rsid w:val="00680557"/>
    <w:rsid w:val="00680AEE"/>
    <w:rsid w:val="00681252"/>
    <w:rsid w:val="006824FC"/>
    <w:rsid w:val="0068373D"/>
    <w:rsid w:val="00683A83"/>
    <w:rsid w:val="006842B4"/>
    <w:rsid w:val="00684661"/>
    <w:rsid w:val="00686AA1"/>
    <w:rsid w:val="00687283"/>
    <w:rsid w:val="00687DDF"/>
    <w:rsid w:val="0069054A"/>
    <w:rsid w:val="006913FB"/>
    <w:rsid w:val="0069157F"/>
    <w:rsid w:val="006917EB"/>
    <w:rsid w:val="006921E0"/>
    <w:rsid w:val="00693B87"/>
    <w:rsid w:val="00694846"/>
    <w:rsid w:val="006964C3"/>
    <w:rsid w:val="0069683B"/>
    <w:rsid w:val="00696856"/>
    <w:rsid w:val="00696CF6"/>
    <w:rsid w:val="006A083F"/>
    <w:rsid w:val="006A18E8"/>
    <w:rsid w:val="006A2EC0"/>
    <w:rsid w:val="006A4506"/>
    <w:rsid w:val="006A483E"/>
    <w:rsid w:val="006A5708"/>
    <w:rsid w:val="006A58DA"/>
    <w:rsid w:val="006A7267"/>
    <w:rsid w:val="006A7A75"/>
    <w:rsid w:val="006B00B0"/>
    <w:rsid w:val="006B0261"/>
    <w:rsid w:val="006B0AF7"/>
    <w:rsid w:val="006B1B80"/>
    <w:rsid w:val="006B2203"/>
    <w:rsid w:val="006B3263"/>
    <w:rsid w:val="006B3A6E"/>
    <w:rsid w:val="006B507E"/>
    <w:rsid w:val="006B5B33"/>
    <w:rsid w:val="006C166A"/>
    <w:rsid w:val="006C19C6"/>
    <w:rsid w:val="006C1FE3"/>
    <w:rsid w:val="006C2221"/>
    <w:rsid w:val="006C2914"/>
    <w:rsid w:val="006C4AD7"/>
    <w:rsid w:val="006C501E"/>
    <w:rsid w:val="006C659A"/>
    <w:rsid w:val="006C675B"/>
    <w:rsid w:val="006D0BD4"/>
    <w:rsid w:val="006D17F0"/>
    <w:rsid w:val="006D199F"/>
    <w:rsid w:val="006D1E34"/>
    <w:rsid w:val="006D2577"/>
    <w:rsid w:val="006D48BA"/>
    <w:rsid w:val="006D5424"/>
    <w:rsid w:val="006D6E84"/>
    <w:rsid w:val="006D74D2"/>
    <w:rsid w:val="006E0128"/>
    <w:rsid w:val="006E0553"/>
    <w:rsid w:val="006E0AB6"/>
    <w:rsid w:val="006E129A"/>
    <w:rsid w:val="006E1304"/>
    <w:rsid w:val="006E22FB"/>
    <w:rsid w:val="006E3CF8"/>
    <w:rsid w:val="006E62CD"/>
    <w:rsid w:val="006E6CA4"/>
    <w:rsid w:val="006E7497"/>
    <w:rsid w:val="006F0D2A"/>
    <w:rsid w:val="006F2294"/>
    <w:rsid w:val="006F261A"/>
    <w:rsid w:val="006F27BE"/>
    <w:rsid w:val="006F2C00"/>
    <w:rsid w:val="006F3A96"/>
    <w:rsid w:val="006F59E0"/>
    <w:rsid w:val="006F60AB"/>
    <w:rsid w:val="006F69E3"/>
    <w:rsid w:val="006F7E95"/>
    <w:rsid w:val="0070022A"/>
    <w:rsid w:val="007002B0"/>
    <w:rsid w:val="00700319"/>
    <w:rsid w:val="00700A00"/>
    <w:rsid w:val="007015E5"/>
    <w:rsid w:val="007032FB"/>
    <w:rsid w:val="0070474A"/>
    <w:rsid w:val="00704861"/>
    <w:rsid w:val="00704D3C"/>
    <w:rsid w:val="00705CD1"/>
    <w:rsid w:val="00706133"/>
    <w:rsid w:val="00706B94"/>
    <w:rsid w:val="00711541"/>
    <w:rsid w:val="0071154F"/>
    <w:rsid w:val="00711877"/>
    <w:rsid w:val="00711AC5"/>
    <w:rsid w:val="007130DF"/>
    <w:rsid w:val="007136B4"/>
    <w:rsid w:val="00713DDF"/>
    <w:rsid w:val="00714DAC"/>
    <w:rsid w:val="00716217"/>
    <w:rsid w:val="00716A2D"/>
    <w:rsid w:val="007175ED"/>
    <w:rsid w:val="00720697"/>
    <w:rsid w:val="00720AFC"/>
    <w:rsid w:val="00721FFB"/>
    <w:rsid w:val="00724D82"/>
    <w:rsid w:val="00724E41"/>
    <w:rsid w:val="00725438"/>
    <w:rsid w:val="00726079"/>
    <w:rsid w:val="0072641E"/>
    <w:rsid w:val="00726795"/>
    <w:rsid w:val="00727AC2"/>
    <w:rsid w:val="007310B3"/>
    <w:rsid w:val="00731903"/>
    <w:rsid w:val="007332E4"/>
    <w:rsid w:val="007332F3"/>
    <w:rsid w:val="007336FA"/>
    <w:rsid w:val="0073481C"/>
    <w:rsid w:val="00734B8A"/>
    <w:rsid w:val="00734F69"/>
    <w:rsid w:val="0073514F"/>
    <w:rsid w:val="00735D87"/>
    <w:rsid w:val="00735FC7"/>
    <w:rsid w:val="00736340"/>
    <w:rsid w:val="00736554"/>
    <w:rsid w:val="0073695B"/>
    <w:rsid w:val="007373ED"/>
    <w:rsid w:val="007401F9"/>
    <w:rsid w:val="007405BF"/>
    <w:rsid w:val="00740CFB"/>
    <w:rsid w:val="00740F60"/>
    <w:rsid w:val="0074141E"/>
    <w:rsid w:val="007417BB"/>
    <w:rsid w:val="00741DE0"/>
    <w:rsid w:val="00743E06"/>
    <w:rsid w:val="00747B33"/>
    <w:rsid w:val="00747B64"/>
    <w:rsid w:val="00747E36"/>
    <w:rsid w:val="0075266B"/>
    <w:rsid w:val="007540D0"/>
    <w:rsid w:val="00754B3E"/>
    <w:rsid w:val="00754D9E"/>
    <w:rsid w:val="0075509C"/>
    <w:rsid w:val="00756A76"/>
    <w:rsid w:val="00757E3B"/>
    <w:rsid w:val="00757E60"/>
    <w:rsid w:val="007606CD"/>
    <w:rsid w:val="007614D2"/>
    <w:rsid w:val="00762B72"/>
    <w:rsid w:val="007630BF"/>
    <w:rsid w:val="0076461C"/>
    <w:rsid w:val="00767199"/>
    <w:rsid w:val="00767702"/>
    <w:rsid w:val="00771487"/>
    <w:rsid w:val="00771CF7"/>
    <w:rsid w:val="00772218"/>
    <w:rsid w:val="0077315D"/>
    <w:rsid w:val="0077385E"/>
    <w:rsid w:val="007745EE"/>
    <w:rsid w:val="00774DEE"/>
    <w:rsid w:val="007766D0"/>
    <w:rsid w:val="00776837"/>
    <w:rsid w:val="00780716"/>
    <w:rsid w:val="0078131F"/>
    <w:rsid w:val="0078264D"/>
    <w:rsid w:val="00782A4C"/>
    <w:rsid w:val="00782E3B"/>
    <w:rsid w:val="00783A0A"/>
    <w:rsid w:val="00783D40"/>
    <w:rsid w:val="00784B5E"/>
    <w:rsid w:val="007869EA"/>
    <w:rsid w:val="007906D8"/>
    <w:rsid w:val="0079353D"/>
    <w:rsid w:val="00793F93"/>
    <w:rsid w:val="007941AD"/>
    <w:rsid w:val="0079592D"/>
    <w:rsid w:val="007A04AB"/>
    <w:rsid w:val="007A0AB7"/>
    <w:rsid w:val="007A15C4"/>
    <w:rsid w:val="007A17A7"/>
    <w:rsid w:val="007A4C53"/>
    <w:rsid w:val="007A5373"/>
    <w:rsid w:val="007A53E4"/>
    <w:rsid w:val="007A6D9D"/>
    <w:rsid w:val="007A7DE8"/>
    <w:rsid w:val="007B0884"/>
    <w:rsid w:val="007B1650"/>
    <w:rsid w:val="007B271F"/>
    <w:rsid w:val="007B36A3"/>
    <w:rsid w:val="007B58CD"/>
    <w:rsid w:val="007B6202"/>
    <w:rsid w:val="007C0E62"/>
    <w:rsid w:val="007C19E9"/>
    <w:rsid w:val="007C1C7B"/>
    <w:rsid w:val="007C2D72"/>
    <w:rsid w:val="007C391B"/>
    <w:rsid w:val="007C41F3"/>
    <w:rsid w:val="007C4CE7"/>
    <w:rsid w:val="007C57B6"/>
    <w:rsid w:val="007D09A4"/>
    <w:rsid w:val="007D11B4"/>
    <w:rsid w:val="007D18A2"/>
    <w:rsid w:val="007D23ED"/>
    <w:rsid w:val="007D32F4"/>
    <w:rsid w:val="007D413D"/>
    <w:rsid w:val="007D4303"/>
    <w:rsid w:val="007D4B02"/>
    <w:rsid w:val="007D5449"/>
    <w:rsid w:val="007D5565"/>
    <w:rsid w:val="007D62CE"/>
    <w:rsid w:val="007E035E"/>
    <w:rsid w:val="007E0A8F"/>
    <w:rsid w:val="007E19ED"/>
    <w:rsid w:val="007E3EEB"/>
    <w:rsid w:val="007E42B1"/>
    <w:rsid w:val="007E69E9"/>
    <w:rsid w:val="007E72F4"/>
    <w:rsid w:val="007E7B3B"/>
    <w:rsid w:val="007F0FD1"/>
    <w:rsid w:val="007F1129"/>
    <w:rsid w:val="007F1F9D"/>
    <w:rsid w:val="007F2CF2"/>
    <w:rsid w:val="007F3CF6"/>
    <w:rsid w:val="007F3E9B"/>
    <w:rsid w:val="007F4F9B"/>
    <w:rsid w:val="007F544C"/>
    <w:rsid w:val="007F6146"/>
    <w:rsid w:val="007F7894"/>
    <w:rsid w:val="008007EA"/>
    <w:rsid w:val="00800D6B"/>
    <w:rsid w:val="00801242"/>
    <w:rsid w:val="00801879"/>
    <w:rsid w:val="00801E1E"/>
    <w:rsid w:val="0080304E"/>
    <w:rsid w:val="008036A8"/>
    <w:rsid w:val="00803D35"/>
    <w:rsid w:val="00804913"/>
    <w:rsid w:val="00805B6F"/>
    <w:rsid w:val="0080721C"/>
    <w:rsid w:val="00807D97"/>
    <w:rsid w:val="00810119"/>
    <w:rsid w:val="0081036B"/>
    <w:rsid w:val="008112ED"/>
    <w:rsid w:val="00811CE7"/>
    <w:rsid w:val="00812962"/>
    <w:rsid w:val="008134F5"/>
    <w:rsid w:val="00813637"/>
    <w:rsid w:val="0081458D"/>
    <w:rsid w:val="00816179"/>
    <w:rsid w:val="00816893"/>
    <w:rsid w:val="0081689B"/>
    <w:rsid w:val="00817EA7"/>
    <w:rsid w:val="0082044F"/>
    <w:rsid w:val="00820E64"/>
    <w:rsid w:val="0082104B"/>
    <w:rsid w:val="008214D2"/>
    <w:rsid w:val="00821581"/>
    <w:rsid w:val="00822A16"/>
    <w:rsid w:val="00822A26"/>
    <w:rsid w:val="00822BF3"/>
    <w:rsid w:val="00822FEB"/>
    <w:rsid w:val="00823CD0"/>
    <w:rsid w:val="00824169"/>
    <w:rsid w:val="0082417E"/>
    <w:rsid w:val="008242CF"/>
    <w:rsid w:val="008246A7"/>
    <w:rsid w:val="00827A30"/>
    <w:rsid w:val="00827AF8"/>
    <w:rsid w:val="0083073E"/>
    <w:rsid w:val="00830F87"/>
    <w:rsid w:val="00831852"/>
    <w:rsid w:val="00831BEA"/>
    <w:rsid w:val="00831C45"/>
    <w:rsid w:val="00832050"/>
    <w:rsid w:val="008322DF"/>
    <w:rsid w:val="0083414B"/>
    <w:rsid w:val="00834D29"/>
    <w:rsid w:val="00835E2D"/>
    <w:rsid w:val="00837C1B"/>
    <w:rsid w:val="008400F0"/>
    <w:rsid w:val="00841CAA"/>
    <w:rsid w:val="00843F7D"/>
    <w:rsid w:val="008443F5"/>
    <w:rsid w:val="008445AE"/>
    <w:rsid w:val="00844B85"/>
    <w:rsid w:val="00845ABB"/>
    <w:rsid w:val="008465E0"/>
    <w:rsid w:val="0084716A"/>
    <w:rsid w:val="00847D0F"/>
    <w:rsid w:val="00851C22"/>
    <w:rsid w:val="00852B35"/>
    <w:rsid w:val="00852D38"/>
    <w:rsid w:val="00853155"/>
    <w:rsid w:val="008539CA"/>
    <w:rsid w:val="00854FF9"/>
    <w:rsid w:val="008558CE"/>
    <w:rsid w:val="008559B8"/>
    <w:rsid w:val="00856021"/>
    <w:rsid w:val="0085625D"/>
    <w:rsid w:val="008566BE"/>
    <w:rsid w:val="0086160F"/>
    <w:rsid w:val="00861DE8"/>
    <w:rsid w:val="00864639"/>
    <w:rsid w:val="00865558"/>
    <w:rsid w:val="008662AF"/>
    <w:rsid w:val="00866627"/>
    <w:rsid w:val="00867937"/>
    <w:rsid w:val="0087005E"/>
    <w:rsid w:val="0087018D"/>
    <w:rsid w:val="00870825"/>
    <w:rsid w:val="00870CFF"/>
    <w:rsid w:val="00870EF8"/>
    <w:rsid w:val="0087109C"/>
    <w:rsid w:val="00872018"/>
    <w:rsid w:val="008722C4"/>
    <w:rsid w:val="008728C7"/>
    <w:rsid w:val="0087311C"/>
    <w:rsid w:val="0087329A"/>
    <w:rsid w:val="00874574"/>
    <w:rsid w:val="008757E9"/>
    <w:rsid w:val="00876269"/>
    <w:rsid w:val="0087656F"/>
    <w:rsid w:val="008765BA"/>
    <w:rsid w:val="00877B06"/>
    <w:rsid w:val="008800D4"/>
    <w:rsid w:val="008807A0"/>
    <w:rsid w:val="00881F9E"/>
    <w:rsid w:val="0088207E"/>
    <w:rsid w:val="008821ED"/>
    <w:rsid w:val="00883B85"/>
    <w:rsid w:val="0088444A"/>
    <w:rsid w:val="0088518A"/>
    <w:rsid w:val="0088769E"/>
    <w:rsid w:val="00887C36"/>
    <w:rsid w:val="008916EE"/>
    <w:rsid w:val="008922CA"/>
    <w:rsid w:val="00893F11"/>
    <w:rsid w:val="0089497F"/>
    <w:rsid w:val="008955EB"/>
    <w:rsid w:val="0089586B"/>
    <w:rsid w:val="00895A17"/>
    <w:rsid w:val="00895EE9"/>
    <w:rsid w:val="00896DBA"/>
    <w:rsid w:val="008A1028"/>
    <w:rsid w:val="008A3FD8"/>
    <w:rsid w:val="008A5047"/>
    <w:rsid w:val="008A57FA"/>
    <w:rsid w:val="008A66A0"/>
    <w:rsid w:val="008A795D"/>
    <w:rsid w:val="008A7C68"/>
    <w:rsid w:val="008A7F33"/>
    <w:rsid w:val="008B0750"/>
    <w:rsid w:val="008B0CA3"/>
    <w:rsid w:val="008B0E94"/>
    <w:rsid w:val="008B1318"/>
    <w:rsid w:val="008B1788"/>
    <w:rsid w:val="008B3099"/>
    <w:rsid w:val="008B38BB"/>
    <w:rsid w:val="008B3FC3"/>
    <w:rsid w:val="008B443E"/>
    <w:rsid w:val="008B5A94"/>
    <w:rsid w:val="008B5D5F"/>
    <w:rsid w:val="008B5F0B"/>
    <w:rsid w:val="008C139C"/>
    <w:rsid w:val="008C5104"/>
    <w:rsid w:val="008C6AFC"/>
    <w:rsid w:val="008C7AA1"/>
    <w:rsid w:val="008D14D3"/>
    <w:rsid w:val="008D1588"/>
    <w:rsid w:val="008D1A69"/>
    <w:rsid w:val="008D4164"/>
    <w:rsid w:val="008D52E7"/>
    <w:rsid w:val="008D5688"/>
    <w:rsid w:val="008D64AA"/>
    <w:rsid w:val="008D7953"/>
    <w:rsid w:val="008E026F"/>
    <w:rsid w:val="008E07B6"/>
    <w:rsid w:val="008E11CD"/>
    <w:rsid w:val="008E13DF"/>
    <w:rsid w:val="008E2993"/>
    <w:rsid w:val="008E2B98"/>
    <w:rsid w:val="008E4CA1"/>
    <w:rsid w:val="008E7734"/>
    <w:rsid w:val="008F0149"/>
    <w:rsid w:val="008F021E"/>
    <w:rsid w:val="008F11FE"/>
    <w:rsid w:val="008F244F"/>
    <w:rsid w:val="008F39FC"/>
    <w:rsid w:val="008F4BF2"/>
    <w:rsid w:val="008F6035"/>
    <w:rsid w:val="00901DF3"/>
    <w:rsid w:val="009027FA"/>
    <w:rsid w:val="00903507"/>
    <w:rsid w:val="00903805"/>
    <w:rsid w:val="0090419A"/>
    <w:rsid w:val="00904F73"/>
    <w:rsid w:val="00905E65"/>
    <w:rsid w:val="00906784"/>
    <w:rsid w:val="00906C73"/>
    <w:rsid w:val="009108C6"/>
    <w:rsid w:val="00912788"/>
    <w:rsid w:val="00913EC4"/>
    <w:rsid w:val="009166A8"/>
    <w:rsid w:val="00916CC3"/>
    <w:rsid w:val="00920528"/>
    <w:rsid w:val="009206B9"/>
    <w:rsid w:val="00920889"/>
    <w:rsid w:val="009212F8"/>
    <w:rsid w:val="009219DF"/>
    <w:rsid w:val="0092221C"/>
    <w:rsid w:val="00923751"/>
    <w:rsid w:val="00923BBA"/>
    <w:rsid w:val="00924469"/>
    <w:rsid w:val="009253E8"/>
    <w:rsid w:val="009253EF"/>
    <w:rsid w:val="009258A1"/>
    <w:rsid w:val="00926B80"/>
    <w:rsid w:val="0092799C"/>
    <w:rsid w:val="009279C7"/>
    <w:rsid w:val="009307BE"/>
    <w:rsid w:val="00931603"/>
    <w:rsid w:val="00931A54"/>
    <w:rsid w:val="00932BB5"/>
    <w:rsid w:val="00933CE0"/>
    <w:rsid w:val="0093567D"/>
    <w:rsid w:val="00935C0C"/>
    <w:rsid w:val="009402B6"/>
    <w:rsid w:val="00940A48"/>
    <w:rsid w:val="00940C29"/>
    <w:rsid w:val="00940D53"/>
    <w:rsid w:val="009418AC"/>
    <w:rsid w:val="009425D6"/>
    <w:rsid w:val="00942730"/>
    <w:rsid w:val="00943B8D"/>
    <w:rsid w:val="00944F37"/>
    <w:rsid w:val="0094586A"/>
    <w:rsid w:val="009467C9"/>
    <w:rsid w:val="00946BD8"/>
    <w:rsid w:val="00947C6F"/>
    <w:rsid w:val="00950489"/>
    <w:rsid w:val="0095094F"/>
    <w:rsid w:val="00951311"/>
    <w:rsid w:val="009516C5"/>
    <w:rsid w:val="00953D6E"/>
    <w:rsid w:val="009544AB"/>
    <w:rsid w:val="00954B88"/>
    <w:rsid w:val="00954E63"/>
    <w:rsid w:val="0095553A"/>
    <w:rsid w:val="00955BAD"/>
    <w:rsid w:val="00956F02"/>
    <w:rsid w:val="0096026A"/>
    <w:rsid w:val="00961645"/>
    <w:rsid w:val="009621C1"/>
    <w:rsid w:val="00962BCB"/>
    <w:rsid w:val="00962E27"/>
    <w:rsid w:val="00963648"/>
    <w:rsid w:val="009649EE"/>
    <w:rsid w:val="00965E4F"/>
    <w:rsid w:val="00966222"/>
    <w:rsid w:val="00966AFD"/>
    <w:rsid w:val="009671FE"/>
    <w:rsid w:val="00967245"/>
    <w:rsid w:val="009674F5"/>
    <w:rsid w:val="00970379"/>
    <w:rsid w:val="0097077A"/>
    <w:rsid w:val="00970C80"/>
    <w:rsid w:val="0097352C"/>
    <w:rsid w:val="009748F4"/>
    <w:rsid w:val="00974B51"/>
    <w:rsid w:val="00975389"/>
    <w:rsid w:val="009754C2"/>
    <w:rsid w:val="009760F0"/>
    <w:rsid w:val="009764B7"/>
    <w:rsid w:val="009765E7"/>
    <w:rsid w:val="009778FA"/>
    <w:rsid w:val="009804B3"/>
    <w:rsid w:val="009806DF"/>
    <w:rsid w:val="0098284D"/>
    <w:rsid w:val="00983DC4"/>
    <w:rsid w:val="00983FD9"/>
    <w:rsid w:val="00984654"/>
    <w:rsid w:val="00985D10"/>
    <w:rsid w:val="009861A6"/>
    <w:rsid w:val="00986254"/>
    <w:rsid w:val="00986452"/>
    <w:rsid w:val="00987A78"/>
    <w:rsid w:val="009906F4"/>
    <w:rsid w:val="0099163C"/>
    <w:rsid w:val="00991990"/>
    <w:rsid w:val="00991BED"/>
    <w:rsid w:val="0099238E"/>
    <w:rsid w:val="00992674"/>
    <w:rsid w:val="00992932"/>
    <w:rsid w:val="00992C24"/>
    <w:rsid w:val="009951AB"/>
    <w:rsid w:val="00995CD0"/>
    <w:rsid w:val="00996239"/>
    <w:rsid w:val="00996E75"/>
    <w:rsid w:val="00997526"/>
    <w:rsid w:val="009A007B"/>
    <w:rsid w:val="009A00EE"/>
    <w:rsid w:val="009A01AF"/>
    <w:rsid w:val="009A0F18"/>
    <w:rsid w:val="009A3BC1"/>
    <w:rsid w:val="009A6959"/>
    <w:rsid w:val="009A7D67"/>
    <w:rsid w:val="009B08AE"/>
    <w:rsid w:val="009B12D7"/>
    <w:rsid w:val="009B2057"/>
    <w:rsid w:val="009B26E9"/>
    <w:rsid w:val="009B2D41"/>
    <w:rsid w:val="009B4267"/>
    <w:rsid w:val="009B450B"/>
    <w:rsid w:val="009B46BB"/>
    <w:rsid w:val="009B67CF"/>
    <w:rsid w:val="009B7855"/>
    <w:rsid w:val="009B78AC"/>
    <w:rsid w:val="009B7AE5"/>
    <w:rsid w:val="009B7BB9"/>
    <w:rsid w:val="009B7CC5"/>
    <w:rsid w:val="009C0710"/>
    <w:rsid w:val="009C0890"/>
    <w:rsid w:val="009C30D5"/>
    <w:rsid w:val="009C3295"/>
    <w:rsid w:val="009C505D"/>
    <w:rsid w:val="009C650A"/>
    <w:rsid w:val="009C6BA5"/>
    <w:rsid w:val="009D0421"/>
    <w:rsid w:val="009D2774"/>
    <w:rsid w:val="009D325B"/>
    <w:rsid w:val="009D49A5"/>
    <w:rsid w:val="009D62AE"/>
    <w:rsid w:val="009D7E66"/>
    <w:rsid w:val="009E0E38"/>
    <w:rsid w:val="009E0E85"/>
    <w:rsid w:val="009E1F34"/>
    <w:rsid w:val="009E219D"/>
    <w:rsid w:val="009E367C"/>
    <w:rsid w:val="009E41EA"/>
    <w:rsid w:val="009E572F"/>
    <w:rsid w:val="009E5E82"/>
    <w:rsid w:val="009E67B5"/>
    <w:rsid w:val="009E76B5"/>
    <w:rsid w:val="009E7968"/>
    <w:rsid w:val="009F0AFE"/>
    <w:rsid w:val="009F2B02"/>
    <w:rsid w:val="009F2B0B"/>
    <w:rsid w:val="009F310F"/>
    <w:rsid w:val="009F4193"/>
    <w:rsid w:val="009F5127"/>
    <w:rsid w:val="009F600C"/>
    <w:rsid w:val="009F634A"/>
    <w:rsid w:val="009F7023"/>
    <w:rsid w:val="009F7671"/>
    <w:rsid w:val="00A00690"/>
    <w:rsid w:val="00A0098F"/>
    <w:rsid w:val="00A01D0A"/>
    <w:rsid w:val="00A02F0E"/>
    <w:rsid w:val="00A03223"/>
    <w:rsid w:val="00A050BD"/>
    <w:rsid w:val="00A05919"/>
    <w:rsid w:val="00A05B1D"/>
    <w:rsid w:val="00A077B3"/>
    <w:rsid w:val="00A07CA0"/>
    <w:rsid w:val="00A10079"/>
    <w:rsid w:val="00A10215"/>
    <w:rsid w:val="00A104A0"/>
    <w:rsid w:val="00A11D5F"/>
    <w:rsid w:val="00A12EDB"/>
    <w:rsid w:val="00A13BC9"/>
    <w:rsid w:val="00A1453A"/>
    <w:rsid w:val="00A14EEB"/>
    <w:rsid w:val="00A202F4"/>
    <w:rsid w:val="00A21CDE"/>
    <w:rsid w:val="00A23A4E"/>
    <w:rsid w:val="00A23ADE"/>
    <w:rsid w:val="00A259CC"/>
    <w:rsid w:val="00A25EB3"/>
    <w:rsid w:val="00A263D5"/>
    <w:rsid w:val="00A26E64"/>
    <w:rsid w:val="00A273E9"/>
    <w:rsid w:val="00A30047"/>
    <w:rsid w:val="00A333A9"/>
    <w:rsid w:val="00A33433"/>
    <w:rsid w:val="00A33453"/>
    <w:rsid w:val="00A33756"/>
    <w:rsid w:val="00A340F6"/>
    <w:rsid w:val="00A35B07"/>
    <w:rsid w:val="00A35B3B"/>
    <w:rsid w:val="00A35D78"/>
    <w:rsid w:val="00A361C8"/>
    <w:rsid w:val="00A37AEB"/>
    <w:rsid w:val="00A41B87"/>
    <w:rsid w:val="00A41C5A"/>
    <w:rsid w:val="00A43434"/>
    <w:rsid w:val="00A4343D"/>
    <w:rsid w:val="00A43487"/>
    <w:rsid w:val="00A44826"/>
    <w:rsid w:val="00A44D57"/>
    <w:rsid w:val="00A455A3"/>
    <w:rsid w:val="00A46EEC"/>
    <w:rsid w:val="00A47EB0"/>
    <w:rsid w:val="00A50C2B"/>
    <w:rsid w:val="00A51557"/>
    <w:rsid w:val="00A51B6A"/>
    <w:rsid w:val="00A5362B"/>
    <w:rsid w:val="00A60B73"/>
    <w:rsid w:val="00A61196"/>
    <w:rsid w:val="00A61CF4"/>
    <w:rsid w:val="00A61DC7"/>
    <w:rsid w:val="00A626AF"/>
    <w:rsid w:val="00A63627"/>
    <w:rsid w:val="00A63672"/>
    <w:rsid w:val="00A63A7F"/>
    <w:rsid w:val="00A663A9"/>
    <w:rsid w:val="00A672E0"/>
    <w:rsid w:val="00A7180F"/>
    <w:rsid w:val="00A73FB0"/>
    <w:rsid w:val="00A74A60"/>
    <w:rsid w:val="00A75163"/>
    <w:rsid w:val="00A75752"/>
    <w:rsid w:val="00A7646E"/>
    <w:rsid w:val="00A76C40"/>
    <w:rsid w:val="00A77701"/>
    <w:rsid w:val="00A77FDE"/>
    <w:rsid w:val="00A8074D"/>
    <w:rsid w:val="00A81207"/>
    <w:rsid w:val="00A82254"/>
    <w:rsid w:val="00A83808"/>
    <w:rsid w:val="00A8478F"/>
    <w:rsid w:val="00A85CB2"/>
    <w:rsid w:val="00A865E2"/>
    <w:rsid w:val="00A86E4E"/>
    <w:rsid w:val="00A87760"/>
    <w:rsid w:val="00A87B22"/>
    <w:rsid w:val="00A87D92"/>
    <w:rsid w:val="00A87F9B"/>
    <w:rsid w:val="00A908EE"/>
    <w:rsid w:val="00A91C96"/>
    <w:rsid w:val="00A96181"/>
    <w:rsid w:val="00A97E42"/>
    <w:rsid w:val="00AA0AF8"/>
    <w:rsid w:val="00AA1B11"/>
    <w:rsid w:val="00AA3509"/>
    <w:rsid w:val="00AA3DF2"/>
    <w:rsid w:val="00AA7237"/>
    <w:rsid w:val="00AA74B3"/>
    <w:rsid w:val="00AA75A4"/>
    <w:rsid w:val="00AA7E07"/>
    <w:rsid w:val="00AB4835"/>
    <w:rsid w:val="00AB549D"/>
    <w:rsid w:val="00AB7501"/>
    <w:rsid w:val="00AB76E0"/>
    <w:rsid w:val="00AC0CEC"/>
    <w:rsid w:val="00AC128F"/>
    <w:rsid w:val="00AC1629"/>
    <w:rsid w:val="00AC32A1"/>
    <w:rsid w:val="00AC4B44"/>
    <w:rsid w:val="00AC4B78"/>
    <w:rsid w:val="00AC644B"/>
    <w:rsid w:val="00AC6B83"/>
    <w:rsid w:val="00AC6E38"/>
    <w:rsid w:val="00AD07EC"/>
    <w:rsid w:val="00AD192E"/>
    <w:rsid w:val="00AD5DBA"/>
    <w:rsid w:val="00AD6403"/>
    <w:rsid w:val="00AD65E5"/>
    <w:rsid w:val="00AD6C96"/>
    <w:rsid w:val="00AD77B5"/>
    <w:rsid w:val="00AE0666"/>
    <w:rsid w:val="00AE0C97"/>
    <w:rsid w:val="00AE11CD"/>
    <w:rsid w:val="00AE1F0B"/>
    <w:rsid w:val="00AE1F7B"/>
    <w:rsid w:val="00AE2E68"/>
    <w:rsid w:val="00AE3992"/>
    <w:rsid w:val="00AE3F72"/>
    <w:rsid w:val="00AE6C22"/>
    <w:rsid w:val="00AF21A9"/>
    <w:rsid w:val="00AF499F"/>
    <w:rsid w:val="00AF507E"/>
    <w:rsid w:val="00AF5B1E"/>
    <w:rsid w:val="00AF7617"/>
    <w:rsid w:val="00AF7765"/>
    <w:rsid w:val="00AF7E18"/>
    <w:rsid w:val="00B00C70"/>
    <w:rsid w:val="00B0257C"/>
    <w:rsid w:val="00B029C7"/>
    <w:rsid w:val="00B0514A"/>
    <w:rsid w:val="00B05B41"/>
    <w:rsid w:val="00B062C4"/>
    <w:rsid w:val="00B06A00"/>
    <w:rsid w:val="00B07541"/>
    <w:rsid w:val="00B1275D"/>
    <w:rsid w:val="00B14EB6"/>
    <w:rsid w:val="00B15A45"/>
    <w:rsid w:val="00B15CEE"/>
    <w:rsid w:val="00B15EF0"/>
    <w:rsid w:val="00B167C4"/>
    <w:rsid w:val="00B167D0"/>
    <w:rsid w:val="00B1722B"/>
    <w:rsid w:val="00B172C0"/>
    <w:rsid w:val="00B1735B"/>
    <w:rsid w:val="00B17547"/>
    <w:rsid w:val="00B20EE6"/>
    <w:rsid w:val="00B21067"/>
    <w:rsid w:val="00B21FCB"/>
    <w:rsid w:val="00B22078"/>
    <w:rsid w:val="00B22165"/>
    <w:rsid w:val="00B235E4"/>
    <w:rsid w:val="00B241DC"/>
    <w:rsid w:val="00B243E5"/>
    <w:rsid w:val="00B24854"/>
    <w:rsid w:val="00B252B8"/>
    <w:rsid w:val="00B25676"/>
    <w:rsid w:val="00B25BF7"/>
    <w:rsid w:val="00B25D93"/>
    <w:rsid w:val="00B27827"/>
    <w:rsid w:val="00B3058A"/>
    <w:rsid w:val="00B30F34"/>
    <w:rsid w:val="00B31937"/>
    <w:rsid w:val="00B31CB8"/>
    <w:rsid w:val="00B32B64"/>
    <w:rsid w:val="00B32EB7"/>
    <w:rsid w:val="00B33927"/>
    <w:rsid w:val="00B35516"/>
    <w:rsid w:val="00B37A0E"/>
    <w:rsid w:val="00B40974"/>
    <w:rsid w:val="00B41C02"/>
    <w:rsid w:val="00B424EF"/>
    <w:rsid w:val="00B42FE4"/>
    <w:rsid w:val="00B43708"/>
    <w:rsid w:val="00B43DFF"/>
    <w:rsid w:val="00B43F89"/>
    <w:rsid w:val="00B4478D"/>
    <w:rsid w:val="00B44DC2"/>
    <w:rsid w:val="00B46297"/>
    <w:rsid w:val="00B46BD5"/>
    <w:rsid w:val="00B47455"/>
    <w:rsid w:val="00B50CB1"/>
    <w:rsid w:val="00B5307E"/>
    <w:rsid w:val="00B55949"/>
    <w:rsid w:val="00B61856"/>
    <w:rsid w:val="00B62AF3"/>
    <w:rsid w:val="00B6311A"/>
    <w:rsid w:val="00B634A4"/>
    <w:rsid w:val="00B64009"/>
    <w:rsid w:val="00B64180"/>
    <w:rsid w:val="00B64313"/>
    <w:rsid w:val="00B64492"/>
    <w:rsid w:val="00B64640"/>
    <w:rsid w:val="00B66D9E"/>
    <w:rsid w:val="00B6730E"/>
    <w:rsid w:val="00B6787E"/>
    <w:rsid w:val="00B67CE7"/>
    <w:rsid w:val="00B70D08"/>
    <w:rsid w:val="00B731AE"/>
    <w:rsid w:val="00B738AD"/>
    <w:rsid w:val="00B73CC0"/>
    <w:rsid w:val="00B74D98"/>
    <w:rsid w:val="00B81A77"/>
    <w:rsid w:val="00B825F6"/>
    <w:rsid w:val="00B831EF"/>
    <w:rsid w:val="00B836D7"/>
    <w:rsid w:val="00B8397F"/>
    <w:rsid w:val="00B85FDA"/>
    <w:rsid w:val="00B86BA6"/>
    <w:rsid w:val="00B870E6"/>
    <w:rsid w:val="00B87506"/>
    <w:rsid w:val="00B87A3B"/>
    <w:rsid w:val="00B906EA"/>
    <w:rsid w:val="00B912B0"/>
    <w:rsid w:val="00B91EF2"/>
    <w:rsid w:val="00B91FF9"/>
    <w:rsid w:val="00B92E0B"/>
    <w:rsid w:val="00B92FB5"/>
    <w:rsid w:val="00B935A8"/>
    <w:rsid w:val="00B9370A"/>
    <w:rsid w:val="00B93847"/>
    <w:rsid w:val="00B95C7D"/>
    <w:rsid w:val="00B95D00"/>
    <w:rsid w:val="00B97523"/>
    <w:rsid w:val="00BA383D"/>
    <w:rsid w:val="00BA41C3"/>
    <w:rsid w:val="00BA4E63"/>
    <w:rsid w:val="00BA5DEE"/>
    <w:rsid w:val="00BB03F1"/>
    <w:rsid w:val="00BB0D0B"/>
    <w:rsid w:val="00BB14E1"/>
    <w:rsid w:val="00BB38DE"/>
    <w:rsid w:val="00BB4256"/>
    <w:rsid w:val="00BB4780"/>
    <w:rsid w:val="00BB4F7E"/>
    <w:rsid w:val="00BB65F5"/>
    <w:rsid w:val="00BB7AC8"/>
    <w:rsid w:val="00BB7FCB"/>
    <w:rsid w:val="00BC0965"/>
    <w:rsid w:val="00BC0F39"/>
    <w:rsid w:val="00BC1165"/>
    <w:rsid w:val="00BC2E6B"/>
    <w:rsid w:val="00BC34CB"/>
    <w:rsid w:val="00BC41F3"/>
    <w:rsid w:val="00BC4792"/>
    <w:rsid w:val="00BC51BD"/>
    <w:rsid w:val="00BC5615"/>
    <w:rsid w:val="00BC5ECB"/>
    <w:rsid w:val="00BC609B"/>
    <w:rsid w:val="00BC76A1"/>
    <w:rsid w:val="00BD1EC7"/>
    <w:rsid w:val="00BD3313"/>
    <w:rsid w:val="00BD34C6"/>
    <w:rsid w:val="00BD3900"/>
    <w:rsid w:val="00BD4D7F"/>
    <w:rsid w:val="00BD63A2"/>
    <w:rsid w:val="00BD7FCD"/>
    <w:rsid w:val="00BE120E"/>
    <w:rsid w:val="00BE15A8"/>
    <w:rsid w:val="00BE1DA8"/>
    <w:rsid w:val="00BE1DC4"/>
    <w:rsid w:val="00BE2105"/>
    <w:rsid w:val="00BE3115"/>
    <w:rsid w:val="00BE354B"/>
    <w:rsid w:val="00BE46D2"/>
    <w:rsid w:val="00BE4E8D"/>
    <w:rsid w:val="00BE5E75"/>
    <w:rsid w:val="00BE66E0"/>
    <w:rsid w:val="00BF11E5"/>
    <w:rsid w:val="00BF1A88"/>
    <w:rsid w:val="00BF1FE2"/>
    <w:rsid w:val="00BF3B22"/>
    <w:rsid w:val="00BF3D6B"/>
    <w:rsid w:val="00BF4308"/>
    <w:rsid w:val="00BF5AEF"/>
    <w:rsid w:val="00BF5B22"/>
    <w:rsid w:val="00BF6404"/>
    <w:rsid w:val="00C00717"/>
    <w:rsid w:val="00C00A65"/>
    <w:rsid w:val="00C01A21"/>
    <w:rsid w:val="00C01A78"/>
    <w:rsid w:val="00C029C5"/>
    <w:rsid w:val="00C0324B"/>
    <w:rsid w:val="00C05BCD"/>
    <w:rsid w:val="00C06355"/>
    <w:rsid w:val="00C06D87"/>
    <w:rsid w:val="00C07F98"/>
    <w:rsid w:val="00C10E33"/>
    <w:rsid w:val="00C12744"/>
    <w:rsid w:val="00C134AE"/>
    <w:rsid w:val="00C139E5"/>
    <w:rsid w:val="00C15B45"/>
    <w:rsid w:val="00C2031D"/>
    <w:rsid w:val="00C20485"/>
    <w:rsid w:val="00C22373"/>
    <w:rsid w:val="00C23862"/>
    <w:rsid w:val="00C24839"/>
    <w:rsid w:val="00C259A3"/>
    <w:rsid w:val="00C26F5F"/>
    <w:rsid w:val="00C3351B"/>
    <w:rsid w:val="00C33C80"/>
    <w:rsid w:val="00C36178"/>
    <w:rsid w:val="00C36ADC"/>
    <w:rsid w:val="00C36C94"/>
    <w:rsid w:val="00C40337"/>
    <w:rsid w:val="00C4036E"/>
    <w:rsid w:val="00C41CC9"/>
    <w:rsid w:val="00C42900"/>
    <w:rsid w:val="00C431C9"/>
    <w:rsid w:val="00C43544"/>
    <w:rsid w:val="00C439D2"/>
    <w:rsid w:val="00C4509C"/>
    <w:rsid w:val="00C454F0"/>
    <w:rsid w:val="00C45719"/>
    <w:rsid w:val="00C45D88"/>
    <w:rsid w:val="00C465DB"/>
    <w:rsid w:val="00C46F29"/>
    <w:rsid w:val="00C5280D"/>
    <w:rsid w:val="00C5337B"/>
    <w:rsid w:val="00C5345D"/>
    <w:rsid w:val="00C53EDA"/>
    <w:rsid w:val="00C5549F"/>
    <w:rsid w:val="00C5551D"/>
    <w:rsid w:val="00C56D08"/>
    <w:rsid w:val="00C57088"/>
    <w:rsid w:val="00C578DC"/>
    <w:rsid w:val="00C6013C"/>
    <w:rsid w:val="00C607FE"/>
    <w:rsid w:val="00C62BBD"/>
    <w:rsid w:val="00C63012"/>
    <w:rsid w:val="00C6335E"/>
    <w:rsid w:val="00C63D59"/>
    <w:rsid w:val="00C65FF4"/>
    <w:rsid w:val="00C66FB6"/>
    <w:rsid w:val="00C679C6"/>
    <w:rsid w:val="00C701BA"/>
    <w:rsid w:val="00C70703"/>
    <w:rsid w:val="00C70978"/>
    <w:rsid w:val="00C71975"/>
    <w:rsid w:val="00C719C7"/>
    <w:rsid w:val="00C71CF7"/>
    <w:rsid w:val="00C733A6"/>
    <w:rsid w:val="00C74110"/>
    <w:rsid w:val="00C74954"/>
    <w:rsid w:val="00C7499E"/>
    <w:rsid w:val="00C757E6"/>
    <w:rsid w:val="00C75D77"/>
    <w:rsid w:val="00C75E60"/>
    <w:rsid w:val="00C80577"/>
    <w:rsid w:val="00C8197A"/>
    <w:rsid w:val="00C81B72"/>
    <w:rsid w:val="00C857AA"/>
    <w:rsid w:val="00C8640C"/>
    <w:rsid w:val="00C8659D"/>
    <w:rsid w:val="00C86FA0"/>
    <w:rsid w:val="00C876AF"/>
    <w:rsid w:val="00C90240"/>
    <w:rsid w:val="00C9071A"/>
    <w:rsid w:val="00C92873"/>
    <w:rsid w:val="00C939B4"/>
    <w:rsid w:val="00CA0811"/>
    <w:rsid w:val="00CA209C"/>
    <w:rsid w:val="00CA2383"/>
    <w:rsid w:val="00CA29B4"/>
    <w:rsid w:val="00CA2CA0"/>
    <w:rsid w:val="00CA47A4"/>
    <w:rsid w:val="00CA5D51"/>
    <w:rsid w:val="00CA612C"/>
    <w:rsid w:val="00CA6169"/>
    <w:rsid w:val="00CA6915"/>
    <w:rsid w:val="00CA7073"/>
    <w:rsid w:val="00CA763C"/>
    <w:rsid w:val="00CB0FCB"/>
    <w:rsid w:val="00CB1127"/>
    <w:rsid w:val="00CB1BDB"/>
    <w:rsid w:val="00CB1DE6"/>
    <w:rsid w:val="00CB274D"/>
    <w:rsid w:val="00CB2939"/>
    <w:rsid w:val="00CB2972"/>
    <w:rsid w:val="00CB3ECB"/>
    <w:rsid w:val="00CB4104"/>
    <w:rsid w:val="00CB4118"/>
    <w:rsid w:val="00CB43E2"/>
    <w:rsid w:val="00CB481B"/>
    <w:rsid w:val="00CB67D3"/>
    <w:rsid w:val="00CB6D6B"/>
    <w:rsid w:val="00CB762C"/>
    <w:rsid w:val="00CB7B90"/>
    <w:rsid w:val="00CC0B48"/>
    <w:rsid w:val="00CC3664"/>
    <w:rsid w:val="00CC3FAB"/>
    <w:rsid w:val="00CC54A7"/>
    <w:rsid w:val="00CC7426"/>
    <w:rsid w:val="00CD07C2"/>
    <w:rsid w:val="00CD27E5"/>
    <w:rsid w:val="00CD280B"/>
    <w:rsid w:val="00CD3C10"/>
    <w:rsid w:val="00CD3CFF"/>
    <w:rsid w:val="00CD469A"/>
    <w:rsid w:val="00CD5788"/>
    <w:rsid w:val="00CD5DA2"/>
    <w:rsid w:val="00CD6CA6"/>
    <w:rsid w:val="00CE1CE1"/>
    <w:rsid w:val="00CE2B9B"/>
    <w:rsid w:val="00CE3259"/>
    <w:rsid w:val="00CE3545"/>
    <w:rsid w:val="00CE4A76"/>
    <w:rsid w:val="00CE4B28"/>
    <w:rsid w:val="00CE4B36"/>
    <w:rsid w:val="00CE5EBC"/>
    <w:rsid w:val="00CE7E7E"/>
    <w:rsid w:val="00CF180B"/>
    <w:rsid w:val="00CF1B3E"/>
    <w:rsid w:val="00CF1B40"/>
    <w:rsid w:val="00CF488A"/>
    <w:rsid w:val="00CF4B47"/>
    <w:rsid w:val="00CF5119"/>
    <w:rsid w:val="00CF51A7"/>
    <w:rsid w:val="00CF7025"/>
    <w:rsid w:val="00CF7E18"/>
    <w:rsid w:val="00D00B1A"/>
    <w:rsid w:val="00D01AC3"/>
    <w:rsid w:val="00D01E85"/>
    <w:rsid w:val="00D025D6"/>
    <w:rsid w:val="00D037AF"/>
    <w:rsid w:val="00D03AF0"/>
    <w:rsid w:val="00D03CFB"/>
    <w:rsid w:val="00D053FA"/>
    <w:rsid w:val="00D05CEF"/>
    <w:rsid w:val="00D0603B"/>
    <w:rsid w:val="00D07040"/>
    <w:rsid w:val="00D071B7"/>
    <w:rsid w:val="00D07B44"/>
    <w:rsid w:val="00D10136"/>
    <w:rsid w:val="00D11C04"/>
    <w:rsid w:val="00D11CFB"/>
    <w:rsid w:val="00D12343"/>
    <w:rsid w:val="00D135C1"/>
    <w:rsid w:val="00D13A2A"/>
    <w:rsid w:val="00D14411"/>
    <w:rsid w:val="00D1479E"/>
    <w:rsid w:val="00D147E4"/>
    <w:rsid w:val="00D15285"/>
    <w:rsid w:val="00D15AF8"/>
    <w:rsid w:val="00D15D04"/>
    <w:rsid w:val="00D16004"/>
    <w:rsid w:val="00D16F97"/>
    <w:rsid w:val="00D16FCC"/>
    <w:rsid w:val="00D20B8C"/>
    <w:rsid w:val="00D224DC"/>
    <w:rsid w:val="00D22AE5"/>
    <w:rsid w:val="00D230A8"/>
    <w:rsid w:val="00D24A15"/>
    <w:rsid w:val="00D2518F"/>
    <w:rsid w:val="00D251D0"/>
    <w:rsid w:val="00D26A8D"/>
    <w:rsid w:val="00D27188"/>
    <w:rsid w:val="00D272FC"/>
    <w:rsid w:val="00D27E44"/>
    <w:rsid w:val="00D301AE"/>
    <w:rsid w:val="00D3185C"/>
    <w:rsid w:val="00D32308"/>
    <w:rsid w:val="00D348AC"/>
    <w:rsid w:val="00D34DBE"/>
    <w:rsid w:val="00D35034"/>
    <w:rsid w:val="00D35CDA"/>
    <w:rsid w:val="00D36C73"/>
    <w:rsid w:val="00D4003F"/>
    <w:rsid w:val="00D40BD8"/>
    <w:rsid w:val="00D41578"/>
    <w:rsid w:val="00D41C03"/>
    <w:rsid w:val="00D423F0"/>
    <w:rsid w:val="00D427F0"/>
    <w:rsid w:val="00D43B09"/>
    <w:rsid w:val="00D45E3A"/>
    <w:rsid w:val="00D50041"/>
    <w:rsid w:val="00D500D9"/>
    <w:rsid w:val="00D50DEC"/>
    <w:rsid w:val="00D5191A"/>
    <w:rsid w:val="00D5412B"/>
    <w:rsid w:val="00D56B4B"/>
    <w:rsid w:val="00D600C9"/>
    <w:rsid w:val="00D6080A"/>
    <w:rsid w:val="00D61EB4"/>
    <w:rsid w:val="00D62E25"/>
    <w:rsid w:val="00D646E8"/>
    <w:rsid w:val="00D64726"/>
    <w:rsid w:val="00D64C94"/>
    <w:rsid w:val="00D66D10"/>
    <w:rsid w:val="00D6742F"/>
    <w:rsid w:val="00D6746E"/>
    <w:rsid w:val="00D67BA5"/>
    <w:rsid w:val="00D70E2D"/>
    <w:rsid w:val="00D71FD1"/>
    <w:rsid w:val="00D720EC"/>
    <w:rsid w:val="00D72E84"/>
    <w:rsid w:val="00D732C5"/>
    <w:rsid w:val="00D740E2"/>
    <w:rsid w:val="00D75868"/>
    <w:rsid w:val="00D75FA6"/>
    <w:rsid w:val="00D7663B"/>
    <w:rsid w:val="00D768D6"/>
    <w:rsid w:val="00D769A5"/>
    <w:rsid w:val="00D76B10"/>
    <w:rsid w:val="00D802FD"/>
    <w:rsid w:val="00D80845"/>
    <w:rsid w:val="00D818ED"/>
    <w:rsid w:val="00D81985"/>
    <w:rsid w:val="00D84600"/>
    <w:rsid w:val="00D84D44"/>
    <w:rsid w:val="00D87985"/>
    <w:rsid w:val="00D87BC2"/>
    <w:rsid w:val="00D87D30"/>
    <w:rsid w:val="00D93B77"/>
    <w:rsid w:val="00D93B9F"/>
    <w:rsid w:val="00D93ECD"/>
    <w:rsid w:val="00D94359"/>
    <w:rsid w:val="00D96962"/>
    <w:rsid w:val="00D976AB"/>
    <w:rsid w:val="00D97DF3"/>
    <w:rsid w:val="00DA06A6"/>
    <w:rsid w:val="00DA09A9"/>
    <w:rsid w:val="00DA0C9D"/>
    <w:rsid w:val="00DA1374"/>
    <w:rsid w:val="00DA1C0A"/>
    <w:rsid w:val="00DA2115"/>
    <w:rsid w:val="00DA21C3"/>
    <w:rsid w:val="00DA6193"/>
    <w:rsid w:val="00DA6555"/>
    <w:rsid w:val="00DB0F3C"/>
    <w:rsid w:val="00DB1122"/>
    <w:rsid w:val="00DB34FC"/>
    <w:rsid w:val="00DB3833"/>
    <w:rsid w:val="00DB425F"/>
    <w:rsid w:val="00DB6A92"/>
    <w:rsid w:val="00DC36D0"/>
    <w:rsid w:val="00DC39C4"/>
    <w:rsid w:val="00DC4175"/>
    <w:rsid w:val="00DC5BE5"/>
    <w:rsid w:val="00DC60C7"/>
    <w:rsid w:val="00DD00CB"/>
    <w:rsid w:val="00DD198E"/>
    <w:rsid w:val="00DD1C94"/>
    <w:rsid w:val="00DD27CC"/>
    <w:rsid w:val="00DD47A4"/>
    <w:rsid w:val="00DD4968"/>
    <w:rsid w:val="00DD554D"/>
    <w:rsid w:val="00DD64A0"/>
    <w:rsid w:val="00DD7A1F"/>
    <w:rsid w:val="00DD7A83"/>
    <w:rsid w:val="00DD7EC0"/>
    <w:rsid w:val="00DE003A"/>
    <w:rsid w:val="00DE122C"/>
    <w:rsid w:val="00DE16EE"/>
    <w:rsid w:val="00DE1E99"/>
    <w:rsid w:val="00DE3352"/>
    <w:rsid w:val="00DE46B3"/>
    <w:rsid w:val="00DE5652"/>
    <w:rsid w:val="00DE60D0"/>
    <w:rsid w:val="00DE621A"/>
    <w:rsid w:val="00DE69FE"/>
    <w:rsid w:val="00DE7788"/>
    <w:rsid w:val="00DF0450"/>
    <w:rsid w:val="00DF10C6"/>
    <w:rsid w:val="00DF1B8A"/>
    <w:rsid w:val="00DF1C07"/>
    <w:rsid w:val="00DF22AF"/>
    <w:rsid w:val="00DF26F6"/>
    <w:rsid w:val="00DF289C"/>
    <w:rsid w:val="00DF4249"/>
    <w:rsid w:val="00DF7345"/>
    <w:rsid w:val="00E0099F"/>
    <w:rsid w:val="00E00DBF"/>
    <w:rsid w:val="00E023EA"/>
    <w:rsid w:val="00E03CD9"/>
    <w:rsid w:val="00E046D3"/>
    <w:rsid w:val="00E05648"/>
    <w:rsid w:val="00E06551"/>
    <w:rsid w:val="00E101D7"/>
    <w:rsid w:val="00E12560"/>
    <w:rsid w:val="00E12E7B"/>
    <w:rsid w:val="00E13DB5"/>
    <w:rsid w:val="00E1401A"/>
    <w:rsid w:val="00E1459B"/>
    <w:rsid w:val="00E145A6"/>
    <w:rsid w:val="00E15360"/>
    <w:rsid w:val="00E1613D"/>
    <w:rsid w:val="00E165F4"/>
    <w:rsid w:val="00E173EF"/>
    <w:rsid w:val="00E179FA"/>
    <w:rsid w:val="00E20031"/>
    <w:rsid w:val="00E20B88"/>
    <w:rsid w:val="00E21D38"/>
    <w:rsid w:val="00E21DFD"/>
    <w:rsid w:val="00E22203"/>
    <w:rsid w:val="00E22711"/>
    <w:rsid w:val="00E22DDC"/>
    <w:rsid w:val="00E25B55"/>
    <w:rsid w:val="00E26503"/>
    <w:rsid w:val="00E26D2D"/>
    <w:rsid w:val="00E26DB4"/>
    <w:rsid w:val="00E26FE1"/>
    <w:rsid w:val="00E30369"/>
    <w:rsid w:val="00E305E4"/>
    <w:rsid w:val="00E309FB"/>
    <w:rsid w:val="00E30B44"/>
    <w:rsid w:val="00E315F4"/>
    <w:rsid w:val="00E32DE7"/>
    <w:rsid w:val="00E33B8A"/>
    <w:rsid w:val="00E35495"/>
    <w:rsid w:val="00E40BA7"/>
    <w:rsid w:val="00E422BC"/>
    <w:rsid w:val="00E4277B"/>
    <w:rsid w:val="00E428CA"/>
    <w:rsid w:val="00E437F2"/>
    <w:rsid w:val="00E44580"/>
    <w:rsid w:val="00E446D3"/>
    <w:rsid w:val="00E4481E"/>
    <w:rsid w:val="00E4570C"/>
    <w:rsid w:val="00E478A7"/>
    <w:rsid w:val="00E47E0F"/>
    <w:rsid w:val="00E51340"/>
    <w:rsid w:val="00E539B4"/>
    <w:rsid w:val="00E539DF"/>
    <w:rsid w:val="00E54082"/>
    <w:rsid w:val="00E55A44"/>
    <w:rsid w:val="00E57248"/>
    <w:rsid w:val="00E57CE9"/>
    <w:rsid w:val="00E60A29"/>
    <w:rsid w:val="00E63B5F"/>
    <w:rsid w:val="00E64EB0"/>
    <w:rsid w:val="00E64FBE"/>
    <w:rsid w:val="00E66AB3"/>
    <w:rsid w:val="00E703BE"/>
    <w:rsid w:val="00E709D5"/>
    <w:rsid w:val="00E724BB"/>
    <w:rsid w:val="00E7392C"/>
    <w:rsid w:val="00E75B73"/>
    <w:rsid w:val="00E76AAB"/>
    <w:rsid w:val="00E770BD"/>
    <w:rsid w:val="00E777B2"/>
    <w:rsid w:val="00E7784D"/>
    <w:rsid w:val="00E77A5E"/>
    <w:rsid w:val="00E8022A"/>
    <w:rsid w:val="00E80D68"/>
    <w:rsid w:val="00E8107D"/>
    <w:rsid w:val="00E81184"/>
    <w:rsid w:val="00E8237B"/>
    <w:rsid w:val="00E8293A"/>
    <w:rsid w:val="00E82C62"/>
    <w:rsid w:val="00E82DC7"/>
    <w:rsid w:val="00E83A7C"/>
    <w:rsid w:val="00E83DC8"/>
    <w:rsid w:val="00E84D16"/>
    <w:rsid w:val="00E85173"/>
    <w:rsid w:val="00E8784C"/>
    <w:rsid w:val="00E8792C"/>
    <w:rsid w:val="00E87D10"/>
    <w:rsid w:val="00E901C2"/>
    <w:rsid w:val="00E9076A"/>
    <w:rsid w:val="00E9090C"/>
    <w:rsid w:val="00E911C4"/>
    <w:rsid w:val="00E919C4"/>
    <w:rsid w:val="00E936F7"/>
    <w:rsid w:val="00E94439"/>
    <w:rsid w:val="00E946E1"/>
    <w:rsid w:val="00E95598"/>
    <w:rsid w:val="00E96A03"/>
    <w:rsid w:val="00E96F23"/>
    <w:rsid w:val="00E978FA"/>
    <w:rsid w:val="00E97AA1"/>
    <w:rsid w:val="00E97AB1"/>
    <w:rsid w:val="00EA019A"/>
    <w:rsid w:val="00EA10EE"/>
    <w:rsid w:val="00EA20A5"/>
    <w:rsid w:val="00EA2969"/>
    <w:rsid w:val="00EA5AE1"/>
    <w:rsid w:val="00EA622C"/>
    <w:rsid w:val="00EA6491"/>
    <w:rsid w:val="00EA6B68"/>
    <w:rsid w:val="00EA75AA"/>
    <w:rsid w:val="00EA7911"/>
    <w:rsid w:val="00EB2561"/>
    <w:rsid w:val="00EB2D69"/>
    <w:rsid w:val="00EB2FA6"/>
    <w:rsid w:val="00EB3DE7"/>
    <w:rsid w:val="00EB5651"/>
    <w:rsid w:val="00EB74F6"/>
    <w:rsid w:val="00EB7DD7"/>
    <w:rsid w:val="00EC0107"/>
    <w:rsid w:val="00EC0D66"/>
    <w:rsid w:val="00EC0E11"/>
    <w:rsid w:val="00EC1092"/>
    <w:rsid w:val="00EC11E1"/>
    <w:rsid w:val="00EC272F"/>
    <w:rsid w:val="00EC4D21"/>
    <w:rsid w:val="00EC6D51"/>
    <w:rsid w:val="00EC6DCF"/>
    <w:rsid w:val="00EC74D0"/>
    <w:rsid w:val="00ED0491"/>
    <w:rsid w:val="00ED1C34"/>
    <w:rsid w:val="00ED3CEE"/>
    <w:rsid w:val="00ED4B6D"/>
    <w:rsid w:val="00ED6150"/>
    <w:rsid w:val="00ED7EB4"/>
    <w:rsid w:val="00ED7F50"/>
    <w:rsid w:val="00EE0E4E"/>
    <w:rsid w:val="00EE1A7D"/>
    <w:rsid w:val="00EE2689"/>
    <w:rsid w:val="00EE5C38"/>
    <w:rsid w:val="00EE7C9B"/>
    <w:rsid w:val="00EF331C"/>
    <w:rsid w:val="00EF35D4"/>
    <w:rsid w:val="00EF39CC"/>
    <w:rsid w:val="00EF5501"/>
    <w:rsid w:val="00EF5BDE"/>
    <w:rsid w:val="00F00069"/>
    <w:rsid w:val="00F016BA"/>
    <w:rsid w:val="00F0355E"/>
    <w:rsid w:val="00F03FC8"/>
    <w:rsid w:val="00F04646"/>
    <w:rsid w:val="00F04BE9"/>
    <w:rsid w:val="00F04EDD"/>
    <w:rsid w:val="00F05F11"/>
    <w:rsid w:val="00F05FB5"/>
    <w:rsid w:val="00F06C05"/>
    <w:rsid w:val="00F07B28"/>
    <w:rsid w:val="00F07F00"/>
    <w:rsid w:val="00F10120"/>
    <w:rsid w:val="00F15262"/>
    <w:rsid w:val="00F15DE6"/>
    <w:rsid w:val="00F16E68"/>
    <w:rsid w:val="00F23BB7"/>
    <w:rsid w:val="00F24B22"/>
    <w:rsid w:val="00F25BFB"/>
    <w:rsid w:val="00F27009"/>
    <w:rsid w:val="00F27840"/>
    <w:rsid w:val="00F30214"/>
    <w:rsid w:val="00F3145E"/>
    <w:rsid w:val="00F317E3"/>
    <w:rsid w:val="00F3205B"/>
    <w:rsid w:val="00F32653"/>
    <w:rsid w:val="00F33DA2"/>
    <w:rsid w:val="00F348EA"/>
    <w:rsid w:val="00F3666F"/>
    <w:rsid w:val="00F42844"/>
    <w:rsid w:val="00F42B2B"/>
    <w:rsid w:val="00F434EC"/>
    <w:rsid w:val="00F43E10"/>
    <w:rsid w:val="00F445FA"/>
    <w:rsid w:val="00F446B7"/>
    <w:rsid w:val="00F4498A"/>
    <w:rsid w:val="00F449DA"/>
    <w:rsid w:val="00F46532"/>
    <w:rsid w:val="00F47F18"/>
    <w:rsid w:val="00F50441"/>
    <w:rsid w:val="00F50834"/>
    <w:rsid w:val="00F50AAF"/>
    <w:rsid w:val="00F51761"/>
    <w:rsid w:val="00F51B6F"/>
    <w:rsid w:val="00F51CCB"/>
    <w:rsid w:val="00F51D3B"/>
    <w:rsid w:val="00F52B78"/>
    <w:rsid w:val="00F531CD"/>
    <w:rsid w:val="00F53494"/>
    <w:rsid w:val="00F540A2"/>
    <w:rsid w:val="00F56557"/>
    <w:rsid w:val="00F56B7F"/>
    <w:rsid w:val="00F56E4B"/>
    <w:rsid w:val="00F56EB0"/>
    <w:rsid w:val="00F57031"/>
    <w:rsid w:val="00F61F59"/>
    <w:rsid w:val="00F62705"/>
    <w:rsid w:val="00F63A15"/>
    <w:rsid w:val="00F6577C"/>
    <w:rsid w:val="00F7042C"/>
    <w:rsid w:val="00F70735"/>
    <w:rsid w:val="00F70ED0"/>
    <w:rsid w:val="00F71E88"/>
    <w:rsid w:val="00F7272D"/>
    <w:rsid w:val="00F72D93"/>
    <w:rsid w:val="00F74349"/>
    <w:rsid w:val="00F752F7"/>
    <w:rsid w:val="00F75853"/>
    <w:rsid w:val="00F77729"/>
    <w:rsid w:val="00F808C9"/>
    <w:rsid w:val="00F80C1B"/>
    <w:rsid w:val="00F80F92"/>
    <w:rsid w:val="00F812E8"/>
    <w:rsid w:val="00F840C8"/>
    <w:rsid w:val="00F844A6"/>
    <w:rsid w:val="00F8564E"/>
    <w:rsid w:val="00F85977"/>
    <w:rsid w:val="00F859C0"/>
    <w:rsid w:val="00F85C55"/>
    <w:rsid w:val="00F86B69"/>
    <w:rsid w:val="00F875E1"/>
    <w:rsid w:val="00F875E6"/>
    <w:rsid w:val="00F91C99"/>
    <w:rsid w:val="00F91FD3"/>
    <w:rsid w:val="00F91FED"/>
    <w:rsid w:val="00F92F70"/>
    <w:rsid w:val="00F947A5"/>
    <w:rsid w:val="00F96001"/>
    <w:rsid w:val="00F9624F"/>
    <w:rsid w:val="00F9665B"/>
    <w:rsid w:val="00FA0526"/>
    <w:rsid w:val="00FA1905"/>
    <w:rsid w:val="00FA283E"/>
    <w:rsid w:val="00FA29C0"/>
    <w:rsid w:val="00FA2C09"/>
    <w:rsid w:val="00FA3198"/>
    <w:rsid w:val="00FA3E40"/>
    <w:rsid w:val="00FA4ABE"/>
    <w:rsid w:val="00FA57F2"/>
    <w:rsid w:val="00FA60BD"/>
    <w:rsid w:val="00FA6368"/>
    <w:rsid w:val="00FA64AC"/>
    <w:rsid w:val="00FA6CA4"/>
    <w:rsid w:val="00FB0DE0"/>
    <w:rsid w:val="00FB0FF3"/>
    <w:rsid w:val="00FB1665"/>
    <w:rsid w:val="00FB1887"/>
    <w:rsid w:val="00FB2561"/>
    <w:rsid w:val="00FB32A1"/>
    <w:rsid w:val="00FB353D"/>
    <w:rsid w:val="00FB3B8F"/>
    <w:rsid w:val="00FB43A7"/>
    <w:rsid w:val="00FB4C8F"/>
    <w:rsid w:val="00FB5A77"/>
    <w:rsid w:val="00FB7115"/>
    <w:rsid w:val="00FB7207"/>
    <w:rsid w:val="00FB76E5"/>
    <w:rsid w:val="00FB7F4D"/>
    <w:rsid w:val="00FC0146"/>
    <w:rsid w:val="00FC13BD"/>
    <w:rsid w:val="00FC1D77"/>
    <w:rsid w:val="00FC2303"/>
    <w:rsid w:val="00FC340A"/>
    <w:rsid w:val="00FC3B66"/>
    <w:rsid w:val="00FC48A3"/>
    <w:rsid w:val="00FC4A18"/>
    <w:rsid w:val="00FC55BE"/>
    <w:rsid w:val="00FC59F7"/>
    <w:rsid w:val="00FC5FE2"/>
    <w:rsid w:val="00FC6CC5"/>
    <w:rsid w:val="00FD0F39"/>
    <w:rsid w:val="00FD13F0"/>
    <w:rsid w:val="00FD2305"/>
    <w:rsid w:val="00FD4343"/>
    <w:rsid w:val="00FD4617"/>
    <w:rsid w:val="00FD4A93"/>
    <w:rsid w:val="00FD5614"/>
    <w:rsid w:val="00FD5DF5"/>
    <w:rsid w:val="00FD7B08"/>
    <w:rsid w:val="00FE1841"/>
    <w:rsid w:val="00FE1CDE"/>
    <w:rsid w:val="00FE1EBA"/>
    <w:rsid w:val="00FE2448"/>
    <w:rsid w:val="00FE2F71"/>
    <w:rsid w:val="00FE3C31"/>
    <w:rsid w:val="00FE461F"/>
    <w:rsid w:val="00FE4ABE"/>
    <w:rsid w:val="00FE6A0E"/>
    <w:rsid w:val="00FF0468"/>
    <w:rsid w:val="00FF0A27"/>
    <w:rsid w:val="00FF0DEF"/>
    <w:rsid w:val="00FF2E42"/>
    <w:rsid w:val="00FF30B1"/>
    <w:rsid w:val="00FF3524"/>
    <w:rsid w:val="00FF4520"/>
    <w:rsid w:val="00FF50CE"/>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5937"/>
    <o:shapelayout v:ext="edit">
      <o:idmap v:ext="edit" data="1"/>
    </o:shapelayout>
  </w:shapeDefaults>
  <w:decimalSymbol w:val="."/>
  <w:listSeparator w:val=","/>
  <w14:docId w14:val="659CF5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2C5"/>
    <w:pPr>
      <w:spacing w:after="240" w:line="360" w:lineRule="auto"/>
      <w:jc w:val="both"/>
    </w:pPr>
    <w:rPr>
      <w:rFonts w:ascii="Arial" w:hAnsi="Arial"/>
      <w:color w:val="4D4D4D" w:themeColor="text2"/>
    </w:rPr>
  </w:style>
  <w:style w:type="paragraph" w:styleId="Heading1">
    <w:name w:val="heading 1"/>
    <w:basedOn w:val="Normal"/>
    <w:next w:val="Normal"/>
    <w:link w:val="Heading1Char"/>
    <w:uiPriority w:val="6"/>
    <w:qFormat/>
    <w:rsid w:val="00A7180F"/>
    <w:pPr>
      <w:keepNext/>
      <w:keepLines/>
      <w:pageBreakBefore/>
      <w:widowControl w:val="0"/>
      <w:numPr>
        <w:numId w:val="1"/>
      </w:numPr>
      <w:outlineLvl w:val="0"/>
    </w:pPr>
    <w:rPr>
      <w:rFonts w:asciiTheme="majorHAnsi" w:eastAsiaTheme="majorEastAsia" w:hAnsiTheme="majorHAnsi" w:cstheme="majorBidi"/>
      <w:b/>
      <w:caps/>
      <w:color w:val="005D8A" w:themeColor="accent2" w:themeShade="BF"/>
      <w:spacing w:val="10"/>
      <w:sz w:val="24"/>
      <w:szCs w:val="32"/>
    </w:rPr>
  </w:style>
  <w:style w:type="paragraph" w:styleId="Heading2">
    <w:name w:val="heading 2"/>
    <w:basedOn w:val="Normal"/>
    <w:next w:val="Normal"/>
    <w:link w:val="Heading2Char"/>
    <w:uiPriority w:val="7"/>
    <w:qFormat/>
    <w:rsid w:val="00A7180F"/>
    <w:pPr>
      <w:keepNext/>
      <w:keepLines/>
      <w:widowControl w:val="0"/>
      <w:numPr>
        <w:ilvl w:val="1"/>
        <w:numId w:val="1"/>
      </w:numPr>
      <w:outlineLvl w:val="1"/>
    </w:pPr>
    <w:rPr>
      <w:rFonts w:asciiTheme="majorHAnsi" w:eastAsiaTheme="majorEastAsia" w:hAnsiTheme="majorHAnsi" w:cstheme="majorBidi"/>
      <w:i/>
      <w:caps/>
      <w:color w:val="005D8A" w:themeColor="accent2" w:themeShade="BF"/>
      <w:sz w:val="24"/>
      <w:szCs w:val="26"/>
    </w:rPr>
  </w:style>
  <w:style w:type="paragraph" w:styleId="Heading3">
    <w:name w:val="heading 3"/>
    <w:basedOn w:val="Normal"/>
    <w:next w:val="Normal"/>
    <w:link w:val="Heading3Char"/>
    <w:uiPriority w:val="8"/>
    <w:qFormat/>
    <w:rsid w:val="00A7180F"/>
    <w:pPr>
      <w:keepNext/>
      <w:keepLines/>
      <w:widowControl w:val="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qFormat/>
    <w:rsid w:val="004C08CC"/>
    <w:pPr>
      <w:keepNext/>
      <w:keepLines/>
      <w:outlineLvl w:val="3"/>
    </w:pPr>
    <w:rPr>
      <w:rFonts w:asciiTheme="majorHAnsi" w:hAnsiTheme="majorHAnsi"/>
      <w:b/>
    </w:rPr>
  </w:style>
  <w:style w:type="paragraph" w:styleId="Heading5">
    <w:name w:val="heading 5"/>
    <w:basedOn w:val="Normal"/>
    <w:next w:val="Normal"/>
    <w:link w:val="Heading5Char"/>
    <w:uiPriority w:val="9"/>
    <w:unhideWhenUsed/>
    <w:rsid w:val="0058673F"/>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A17"/>
    <w:pPr>
      <w:tabs>
        <w:tab w:val="center" w:pos="4680"/>
        <w:tab w:val="right" w:pos="9360"/>
      </w:tabs>
      <w:spacing w:line="240" w:lineRule="auto"/>
    </w:pPr>
  </w:style>
  <w:style w:type="character" w:customStyle="1" w:styleId="HeaderChar">
    <w:name w:val="Header Char"/>
    <w:basedOn w:val="DefaultParagraphFont"/>
    <w:link w:val="Header"/>
    <w:uiPriority w:val="99"/>
    <w:rsid w:val="0034751E"/>
    <w:rPr>
      <w:rFonts w:ascii="Arial" w:hAnsi="Arial"/>
      <w:color w:val="4D4D4D" w:themeColor="text2"/>
    </w:rPr>
  </w:style>
  <w:style w:type="paragraph" w:styleId="Footer">
    <w:name w:val="footer"/>
    <w:basedOn w:val="Normal"/>
    <w:link w:val="FooterChar"/>
    <w:uiPriority w:val="99"/>
    <w:unhideWhenUsed/>
    <w:rsid w:val="003B1A17"/>
    <w:pPr>
      <w:tabs>
        <w:tab w:val="center" w:pos="4680"/>
        <w:tab w:val="right" w:pos="9360"/>
      </w:tabs>
      <w:spacing w:line="240" w:lineRule="auto"/>
    </w:pPr>
  </w:style>
  <w:style w:type="character" w:customStyle="1" w:styleId="FooterChar">
    <w:name w:val="Footer Char"/>
    <w:basedOn w:val="DefaultParagraphFont"/>
    <w:link w:val="Footer"/>
    <w:uiPriority w:val="99"/>
    <w:rsid w:val="0034751E"/>
    <w:rPr>
      <w:rFonts w:ascii="Arial" w:hAnsi="Arial"/>
      <w:color w:val="4D4D4D" w:themeColor="text2"/>
    </w:rPr>
  </w:style>
  <w:style w:type="paragraph" w:styleId="NoSpacing">
    <w:name w:val="No Spacing"/>
    <w:uiPriority w:val="1"/>
    <w:qFormat/>
    <w:rsid w:val="00807D97"/>
    <w:pPr>
      <w:spacing w:after="240" w:line="360" w:lineRule="auto"/>
      <w:contextualSpacing/>
    </w:pPr>
    <w:rPr>
      <w:rFonts w:ascii="Arial" w:hAnsi="Arial"/>
      <w:color w:val="4D4D4D" w:themeColor="text2"/>
    </w:rPr>
  </w:style>
  <w:style w:type="character" w:customStyle="1" w:styleId="Heading1Char">
    <w:name w:val="Heading 1 Char"/>
    <w:basedOn w:val="DefaultParagraphFont"/>
    <w:link w:val="Heading1"/>
    <w:uiPriority w:val="6"/>
    <w:rsid w:val="00A7180F"/>
    <w:rPr>
      <w:rFonts w:asciiTheme="majorHAnsi" w:eastAsiaTheme="majorEastAsia" w:hAnsiTheme="majorHAnsi" w:cstheme="majorBidi"/>
      <w:b/>
      <w:caps/>
      <w:color w:val="005D8A" w:themeColor="accent2" w:themeShade="BF"/>
      <w:spacing w:val="10"/>
      <w:sz w:val="24"/>
      <w:szCs w:val="32"/>
    </w:rPr>
  </w:style>
  <w:style w:type="character" w:customStyle="1" w:styleId="Heading2Char">
    <w:name w:val="Heading 2 Char"/>
    <w:basedOn w:val="DefaultParagraphFont"/>
    <w:link w:val="Heading2"/>
    <w:uiPriority w:val="7"/>
    <w:rsid w:val="00A7180F"/>
    <w:rPr>
      <w:rFonts w:asciiTheme="majorHAnsi" w:eastAsiaTheme="majorEastAsia" w:hAnsiTheme="majorHAnsi" w:cstheme="majorBidi"/>
      <w:i/>
      <w:caps/>
      <w:color w:val="005D8A" w:themeColor="accent2" w:themeShade="BF"/>
      <w:sz w:val="24"/>
      <w:szCs w:val="26"/>
    </w:rPr>
  </w:style>
  <w:style w:type="character" w:customStyle="1" w:styleId="Heading3Char">
    <w:name w:val="Heading 3 Char"/>
    <w:basedOn w:val="DefaultParagraphFont"/>
    <w:link w:val="Heading3"/>
    <w:uiPriority w:val="8"/>
    <w:rsid w:val="00A7180F"/>
    <w:rPr>
      <w:rFonts w:asciiTheme="majorHAnsi" w:eastAsiaTheme="majorEastAsia" w:hAnsiTheme="majorHAnsi" w:cstheme="majorBidi"/>
      <w:b/>
      <w:color w:val="4D4D4D" w:themeColor="text2"/>
      <w:szCs w:val="24"/>
      <w:u w:val="single"/>
    </w:rPr>
  </w:style>
  <w:style w:type="character" w:customStyle="1" w:styleId="Heading4Char">
    <w:name w:val="Heading 4 Char"/>
    <w:basedOn w:val="DefaultParagraphFont"/>
    <w:link w:val="Heading4"/>
    <w:uiPriority w:val="9"/>
    <w:rsid w:val="002872C5"/>
    <w:rPr>
      <w:rFonts w:asciiTheme="majorHAnsi" w:hAnsiTheme="majorHAnsi"/>
      <w:b/>
      <w:color w:val="4D4D4D" w:themeColor="text2"/>
    </w:rPr>
  </w:style>
  <w:style w:type="paragraph" w:styleId="Title">
    <w:name w:val="Title"/>
    <w:basedOn w:val="Normal"/>
    <w:next w:val="Normal"/>
    <w:link w:val="TitleChar"/>
    <w:uiPriority w:val="3"/>
    <w:qFormat/>
    <w:rsid w:val="00593BD0"/>
    <w:pPr>
      <w:keepNext/>
      <w:keepLines/>
      <w:pBdr>
        <w:left w:val="single" w:sz="18" w:space="4" w:color="005D8A" w:themeColor="accent2" w:themeShade="BF"/>
      </w:pBdr>
      <w:spacing w:after="0" w:line="240" w:lineRule="auto"/>
      <w:contextualSpacing/>
    </w:pPr>
    <w:rPr>
      <w:rFonts w:asciiTheme="majorHAnsi" w:eastAsiaTheme="majorEastAsia" w:hAnsiTheme="majorHAnsi" w:cstheme="majorBidi"/>
      <w:caps/>
      <w:spacing w:val="10"/>
      <w:kern w:val="28"/>
      <w:sz w:val="36"/>
      <w:szCs w:val="56"/>
    </w:rPr>
  </w:style>
  <w:style w:type="character" w:customStyle="1" w:styleId="TitleChar">
    <w:name w:val="Title Char"/>
    <w:basedOn w:val="DefaultParagraphFont"/>
    <w:link w:val="Title"/>
    <w:uiPriority w:val="3"/>
    <w:rsid w:val="00807D97"/>
    <w:rPr>
      <w:rFonts w:asciiTheme="majorHAnsi" w:eastAsiaTheme="majorEastAsia" w:hAnsiTheme="majorHAnsi" w:cstheme="majorBidi"/>
      <w:caps/>
      <w:color w:val="4D4D4D" w:themeColor="text2"/>
      <w:spacing w:val="10"/>
      <w:kern w:val="28"/>
      <w:sz w:val="36"/>
      <w:szCs w:val="56"/>
    </w:rPr>
  </w:style>
  <w:style w:type="paragraph" w:styleId="Subtitle">
    <w:name w:val="Subtitle"/>
    <w:basedOn w:val="Normal"/>
    <w:next w:val="Normal"/>
    <w:link w:val="SubtitleChar"/>
    <w:uiPriority w:val="4"/>
    <w:qFormat/>
    <w:rsid w:val="002812F3"/>
    <w:pPr>
      <w:numPr>
        <w:ilvl w:val="1"/>
      </w:numPr>
      <w:spacing w:line="259" w:lineRule="auto"/>
    </w:pPr>
    <w:rPr>
      <w:rFonts w:asciiTheme="majorHAnsi" w:eastAsiaTheme="minorEastAsia" w:hAnsiTheme="majorHAnsi"/>
      <w:color w:val="7F7F7F" w:themeColor="text1" w:themeTint="80"/>
      <w:spacing w:val="15"/>
      <w:sz w:val="32"/>
    </w:rPr>
  </w:style>
  <w:style w:type="character" w:customStyle="1" w:styleId="SubtitleChar">
    <w:name w:val="Subtitle Char"/>
    <w:basedOn w:val="DefaultParagraphFont"/>
    <w:link w:val="Subtitle"/>
    <w:uiPriority w:val="4"/>
    <w:rsid w:val="002812F3"/>
    <w:rPr>
      <w:rFonts w:asciiTheme="majorHAnsi" w:eastAsiaTheme="minorEastAsia" w:hAnsiTheme="majorHAnsi"/>
      <w:color w:val="7F7F7F" w:themeColor="text1" w:themeTint="80"/>
      <w:spacing w:val="15"/>
      <w:sz w:val="32"/>
    </w:rPr>
  </w:style>
  <w:style w:type="character" w:styleId="SubtleEmphasis">
    <w:name w:val="Subtle Emphasis"/>
    <w:aliases w:val="TOC Header"/>
    <w:basedOn w:val="DefaultParagraphFont"/>
    <w:uiPriority w:val="5"/>
    <w:qFormat/>
    <w:rsid w:val="00211D76"/>
    <w:rPr>
      <w:rFonts w:asciiTheme="majorHAnsi" w:hAnsiTheme="majorHAnsi"/>
      <w:b w:val="0"/>
      <w:i w:val="0"/>
      <w:iCs/>
      <w:caps/>
      <w:smallCaps w:val="0"/>
      <w:strike w:val="0"/>
      <w:dstrike w:val="0"/>
      <w:vanish w:val="0"/>
      <w:color w:val="005D8A" w:themeColor="accent2" w:themeShade="BF"/>
      <w:sz w:val="24"/>
      <w:vertAlign w:val="baseline"/>
    </w:rPr>
  </w:style>
  <w:style w:type="character" w:styleId="Emphasis">
    <w:name w:val="Emphasis"/>
    <w:basedOn w:val="DefaultParagraphFont"/>
    <w:uiPriority w:val="20"/>
    <w:unhideWhenUsed/>
    <w:rsid w:val="007332E4"/>
    <w:rPr>
      <w:rFonts w:ascii="Arial" w:hAnsi="Arial"/>
      <w:i/>
      <w:iCs/>
    </w:rPr>
  </w:style>
  <w:style w:type="character" w:styleId="IntenseEmphasis">
    <w:name w:val="Intense Emphasis"/>
    <w:basedOn w:val="DefaultParagraphFont"/>
    <w:uiPriority w:val="21"/>
    <w:unhideWhenUsed/>
    <w:rsid w:val="007332E4"/>
    <w:rPr>
      <w:rFonts w:ascii="Arial" w:hAnsi="Arial"/>
      <w:i/>
      <w:iCs/>
      <w:color w:val="EC1C24" w:themeColor="accent1"/>
    </w:rPr>
  </w:style>
  <w:style w:type="character" w:styleId="Strong">
    <w:name w:val="Strong"/>
    <w:basedOn w:val="DefaultParagraphFont"/>
    <w:uiPriority w:val="22"/>
    <w:unhideWhenUsed/>
    <w:rsid w:val="007332E4"/>
    <w:rPr>
      <w:rFonts w:ascii="Arial" w:hAnsi="Arial"/>
      <w:b/>
      <w:bCs/>
    </w:rPr>
  </w:style>
  <w:style w:type="paragraph" w:styleId="Quote">
    <w:name w:val="Quote"/>
    <w:basedOn w:val="Normal"/>
    <w:next w:val="Normal"/>
    <w:link w:val="QuoteChar"/>
    <w:uiPriority w:val="29"/>
    <w:unhideWhenUsed/>
    <w:rsid w:val="007332E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4751E"/>
    <w:rPr>
      <w:rFonts w:ascii="Arial" w:hAnsi="Arial"/>
      <w:i/>
      <w:iCs/>
      <w:color w:val="404040" w:themeColor="text1" w:themeTint="BF"/>
    </w:rPr>
  </w:style>
  <w:style w:type="paragraph" w:styleId="IntenseQuote">
    <w:name w:val="Intense Quote"/>
    <w:basedOn w:val="Normal"/>
    <w:next w:val="Normal"/>
    <w:link w:val="IntenseQuoteChar"/>
    <w:uiPriority w:val="30"/>
    <w:unhideWhenUsed/>
    <w:rsid w:val="007332E4"/>
    <w:pPr>
      <w:pBdr>
        <w:top w:val="single" w:sz="4" w:space="10" w:color="EC1C24" w:themeColor="accent1"/>
        <w:bottom w:val="single" w:sz="4" w:space="10" w:color="EC1C24" w:themeColor="accent1"/>
      </w:pBdr>
      <w:spacing w:before="360" w:after="360"/>
      <w:ind w:left="864" w:right="864"/>
      <w:jc w:val="center"/>
    </w:pPr>
    <w:rPr>
      <w:i/>
      <w:iCs/>
      <w:color w:val="EC1C24" w:themeColor="accent1"/>
    </w:rPr>
  </w:style>
  <w:style w:type="character" w:customStyle="1" w:styleId="IntenseQuoteChar">
    <w:name w:val="Intense Quote Char"/>
    <w:basedOn w:val="DefaultParagraphFont"/>
    <w:link w:val="IntenseQuote"/>
    <w:uiPriority w:val="30"/>
    <w:rsid w:val="0034751E"/>
    <w:rPr>
      <w:rFonts w:ascii="Arial" w:hAnsi="Arial"/>
      <w:i/>
      <w:iCs/>
      <w:color w:val="EC1C24" w:themeColor="accent1"/>
    </w:rPr>
  </w:style>
  <w:style w:type="character" w:styleId="SubtleReference">
    <w:name w:val="Subtle Reference"/>
    <w:basedOn w:val="DefaultParagraphFont"/>
    <w:uiPriority w:val="31"/>
    <w:unhideWhenUsed/>
    <w:rsid w:val="007332E4"/>
    <w:rPr>
      <w:rFonts w:ascii="Arial" w:hAnsi="Arial"/>
      <w:smallCaps/>
      <w:color w:val="5A5A5A" w:themeColor="text1" w:themeTint="A5"/>
    </w:rPr>
  </w:style>
  <w:style w:type="character" w:styleId="IntenseReference">
    <w:name w:val="Intense Reference"/>
    <w:basedOn w:val="DefaultParagraphFont"/>
    <w:uiPriority w:val="32"/>
    <w:unhideWhenUsed/>
    <w:rsid w:val="007332E4"/>
    <w:rPr>
      <w:rFonts w:ascii="Arial" w:hAnsi="Arial"/>
      <w:b/>
      <w:bCs/>
      <w:smallCaps/>
      <w:color w:val="EC1C24" w:themeColor="accent1"/>
      <w:spacing w:val="5"/>
    </w:rPr>
  </w:style>
  <w:style w:type="character" w:styleId="BookTitle">
    <w:name w:val="Book Title"/>
    <w:basedOn w:val="DefaultParagraphFont"/>
    <w:uiPriority w:val="33"/>
    <w:semiHidden/>
    <w:unhideWhenUsed/>
    <w:qFormat/>
    <w:rsid w:val="007332E4"/>
    <w:rPr>
      <w:rFonts w:ascii="Arial" w:hAnsi="Arial"/>
      <w:b/>
      <w:bCs/>
      <w:i/>
      <w:iCs/>
      <w:spacing w:val="5"/>
    </w:rPr>
  </w:style>
  <w:style w:type="paragraph" w:styleId="ListParagraph">
    <w:name w:val="List Paragraph"/>
    <w:basedOn w:val="Normal"/>
    <w:link w:val="ListParagraphChar"/>
    <w:uiPriority w:val="34"/>
    <w:unhideWhenUsed/>
    <w:qFormat/>
    <w:rsid w:val="007332E4"/>
    <w:pPr>
      <w:ind w:left="720"/>
      <w:contextualSpacing/>
    </w:pPr>
  </w:style>
  <w:style w:type="paragraph" w:customStyle="1" w:styleId="Article5L1">
    <w:name w:val="Article5_L1"/>
    <w:basedOn w:val="Normal"/>
    <w:next w:val="BodyText"/>
    <w:link w:val="Article5L1Char"/>
    <w:unhideWhenUsed/>
    <w:rsid w:val="00515C74"/>
    <w:pPr>
      <w:keepNext/>
      <w:jc w:val="center"/>
      <w:outlineLvl w:val="0"/>
    </w:pPr>
    <w:rPr>
      <w:rFonts w:ascii="Times New Roman" w:eastAsia="Times New Roman" w:hAnsi="Times New Roman" w:cs="Times New Roman"/>
      <w:b/>
      <w:caps/>
      <w:color w:val="auto"/>
      <w:sz w:val="24"/>
      <w:szCs w:val="20"/>
    </w:rPr>
  </w:style>
  <w:style w:type="character" w:customStyle="1" w:styleId="Article5L1Char">
    <w:name w:val="Article5_L1 Char"/>
    <w:basedOn w:val="DefaultParagraphFont"/>
    <w:link w:val="Article5L1"/>
    <w:rsid w:val="0034751E"/>
    <w:rPr>
      <w:rFonts w:ascii="Times New Roman" w:eastAsia="Times New Roman" w:hAnsi="Times New Roman" w:cs="Times New Roman"/>
      <w:b/>
      <w:caps/>
      <w:sz w:val="24"/>
      <w:szCs w:val="20"/>
    </w:rPr>
  </w:style>
  <w:style w:type="paragraph" w:styleId="BodyText">
    <w:name w:val="Body Text"/>
    <w:basedOn w:val="Normal"/>
    <w:link w:val="BodyTextChar"/>
    <w:uiPriority w:val="99"/>
    <w:semiHidden/>
    <w:unhideWhenUsed/>
    <w:rsid w:val="00515C74"/>
    <w:pPr>
      <w:spacing w:after="120"/>
    </w:pPr>
  </w:style>
  <w:style w:type="character" w:customStyle="1" w:styleId="BodyTextChar">
    <w:name w:val="Body Text Char"/>
    <w:basedOn w:val="DefaultParagraphFont"/>
    <w:link w:val="BodyText"/>
    <w:uiPriority w:val="99"/>
    <w:semiHidden/>
    <w:rsid w:val="0034751E"/>
    <w:rPr>
      <w:rFonts w:ascii="Arial" w:hAnsi="Arial"/>
      <w:color w:val="4D4D4D" w:themeColor="text2"/>
    </w:rPr>
  </w:style>
  <w:style w:type="paragraph" w:customStyle="1" w:styleId="Article5L2">
    <w:name w:val="Article5_L2"/>
    <w:basedOn w:val="Article5L1"/>
    <w:next w:val="BodyText"/>
    <w:link w:val="Article5L2Char"/>
    <w:unhideWhenUsed/>
    <w:rsid w:val="00257F17"/>
    <w:pPr>
      <w:ind w:right="720"/>
      <w:jc w:val="both"/>
      <w:outlineLvl w:val="1"/>
    </w:pPr>
    <w:rPr>
      <w:b w:val="0"/>
      <w:caps w:val="0"/>
    </w:rPr>
  </w:style>
  <w:style w:type="character" w:customStyle="1" w:styleId="Article5L2Char">
    <w:name w:val="Article5_L2 Char"/>
    <w:basedOn w:val="DefaultParagraphFont"/>
    <w:link w:val="Article5L2"/>
    <w:rsid w:val="0034751E"/>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5F55D3"/>
    <w:pPr>
      <w:spacing w:line="240" w:lineRule="auto"/>
    </w:pPr>
    <w:rPr>
      <w:rFonts w:asciiTheme="minorHAnsi" w:eastAsia="Times New Roman" w:hAnsiTheme="minorHAnsi" w:cs="Times New Roman"/>
      <w:sz w:val="19"/>
      <w:szCs w:val="20"/>
    </w:rPr>
  </w:style>
  <w:style w:type="character" w:customStyle="1" w:styleId="FootnoteTextChar">
    <w:name w:val="Footnote Text Char"/>
    <w:basedOn w:val="DefaultParagraphFont"/>
    <w:link w:val="FootnoteText"/>
    <w:uiPriority w:val="99"/>
    <w:rsid w:val="0034751E"/>
    <w:rPr>
      <w:rFonts w:eastAsia="Times New Roman" w:cs="Times New Roman"/>
      <w:color w:val="4D4D4D" w:themeColor="text2"/>
      <w:sz w:val="19"/>
      <w:szCs w:val="20"/>
    </w:rPr>
  </w:style>
  <w:style w:type="character" w:styleId="FootnoteReference">
    <w:name w:val="footnote reference"/>
    <w:basedOn w:val="DefaultParagraphFont"/>
    <w:uiPriority w:val="99"/>
    <w:semiHidden/>
    <w:unhideWhenUsed/>
    <w:rsid w:val="00257F17"/>
    <w:rPr>
      <w:vertAlign w:val="superscript"/>
    </w:rPr>
  </w:style>
  <w:style w:type="paragraph" w:styleId="TOCHeading">
    <w:name w:val="TOC Heading"/>
    <w:basedOn w:val="Heading1"/>
    <w:next w:val="Normal"/>
    <w:uiPriority w:val="39"/>
    <w:unhideWhenUsed/>
    <w:rsid w:val="000B19A8"/>
    <w:pPr>
      <w:widowControl/>
      <w:spacing w:after="0" w:line="259" w:lineRule="auto"/>
      <w:outlineLvl w:val="9"/>
    </w:pPr>
    <w:rPr>
      <w:b w:val="0"/>
      <w:caps w:val="0"/>
      <w:spacing w:val="0"/>
      <w:sz w:val="32"/>
    </w:rPr>
  </w:style>
  <w:style w:type="paragraph" w:styleId="TOC1">
    <w:name w:val="toc 1"/>
    <w:basedOn w:val="Normal"/>
    <w:next w:val="Normal"/>
    <w:autoRedefine/>
    <w:uiPriority w:val="39"/>
    <w:unhideWhenUsed/>
    <w:rsid w:val="00E26DB4"/>
    <w:pPr>
      <w:tabs>
        <w:tab w:val="right" w:leader="dot" w:pos="9350"/>
      </w:tabs>
      <w:spacing w:after="100"/>
    </w:pPr>
    <w:rPr>
      <w:noProof/>
      <w:color w:val="005D8A" w:themeColor="accent2" w:themeShade="BF"/>
      <w:sz w:val="24"/>
    </w:rPr>
  </w:style>
  <w:style w:type="paragraph" w:styleId="TOC2">
    <w:name w:val="toc 2"/>
    <w:basedOn w:val="Normal"/>
    <w:next w:val="Normal"/>
    <w:autoRedefine/>
    <w:uiPriority w:val="39"/>
    <w:unhideWhenUsed/>
    <w:rsid w:val="00EF331C"/>
    <w:pPr>
      <w:tabs>
        <w:tab w:val="left" w:pos="880"/>
        <w:tab w:val="right" w:leader="dot" w:pos="9350"/>
      </w:tabs>
      <w:spacing w:after="0"/>
      <w:ind w:left="216"/>
    </w:pPr>
  </w:style>
  <w:style w:type="paragraph" w:styleId="TOC3">
    <w:name w:val="toc 3"/>
    <w:basedOn w:val="Normal"/>
    <w:next w:val="Normal"/>
    <w:autoRedefine/>
    <w:uiPriority w:val="39"/>
    <w:unhideWhenUsed/>
    <w:rsid w:val="00877B06"/>
    <w:pPr>
      <w:tabs>
        <w:tab w:val="left" w:pos="1320"/>
        <w:tab w:val="right" w:leader="dot" w:pos="9350"/>
      </w:tabs>
      <w:spacing w:after="0"/>
      <w:ind w:left="446"/>
    </w:pPr>
  </w:style>
  <w:style w:type="paragraph" w:styleId="TOC4">
    <w:name w:val="toc 4"/>
    <w:basedOn w:val="Normal"/>
    <w:next w:val="Normal"/>
    <w:autoRedefine/>
    <w:uiPriority w:val="39"/>
    <w:unhideWhenUsed/>
    <w:rsid w:val="00083D04"/>
    <w:pPr>
      <w:spacing w:after="100" w:line="259" w:lineRule="auto"/>
      <w:ind w:left="660"/>
    </w:pPr>
    <w:rPr>
      <w:rFonts w:asciiTheme="minorHAnsi" w:eastAsiaTheme="minorEastAsia" w:hAnsiTheme="minorHAnsi"/>
      <w:color w:val="auto"/>
    </w:rPr>
  </w:style>
  <w:style w:type="paragraph" w:styleId="TOC5">
    <w:name w:val="toc 5"/>
    <w:basedOn w:val="Normal"/>
    <w:next w:val="Normal"/>
    <w:autoRedefine/>
    <w:uiPriority w:val="39"/>
    <w:unhideWhenUsed/>
    <w:rsid w:val="00083D04"/>
    <w:pPr>
      <w:spacing w:after="100" w:line="259" w:lineRule="auto"/>
      <w:ind w:left="880"/>
    </w:pPr>
    <w:rPr>
      <w:rFonts w:asciiTheme="minorHAnsi" w:eastAsiaTheme="minorEastAsia" w:hAnsiTheme="minorHAnsi"/>
      <w:color w:val="auto"/>
    </w:rPr>
  </w:style>
  <w:style w:type="paragraph" w:styleId="TOC6">
    <w:name w:val="toc 6"/>
    <w:basedOn w:val="Normal"/>
    <w:next w:val="Normal"/>
    <w:autoRedefine/>
    <w:uiPriority w:val="39"/>
    <w:unhideWhenUsed/>
    <w:rsid w:val="00083D04"/>
    <w:pPr>
      <w:spacing w:after="100" w:line="259" w:lineRule="auto"/>
      <w:ind w:left="1100"/>
    </w:pPr>
    <w:rPr>
      <w:rFonts w:asciiTheme="minorHAnsi" w:eastAsiaTheme="minorEastAsia" w:hAnsiTheme="minorHAnsi"/>
      <w:color w:val="auto"/>
    </w:rPr>
  </w:style>
  <w:style w:type="paragraph" w:styleId="TOC7">
    <w:name w:val="toc 7"/>
    <w:basedOn w:val="Normal"/>
    <w:next w:val="Normal"/>
    <w:autoRedefine/>
    <w:uiPriority w:val="39"/>
    <w:unhideWhenUsed/>
    <w:rsid w:val="00083D04"/>
    <w:pPr>
      <w:spacing w:after="100" w:line="259" w:lineRule="auto"/>
      <w:ind w:left="1320"/>
    </w:pPr>
    <w:rPr>
      <w:rFonts w:asciiTheme="minorHAnsi" w:eastAsiaTheme="minorEastAsia" w:hAnsiTheme="minorHAnsi"/>
      <w:color w:val="auto"/>
    </w:rPr>
  </w:style>
  <w:style w:type="paragraph" w:styleId="TOC8">
    <w:name w:val="toc 8"/>
    <w:basedOn w:val="Normal"/>
    <w:next w:val="Normal"/>
    <w:autoRedefine/>
    <w:uiPriority w:val="39"/>
    <w:unhideWhenUsed/>
    <w:rsid w:val="00083D04"/>
    <w:pPr>
      <w:spacing w:after="100" w:line="259" w:lineRule="auto"/>
      <w:ind w:left="1540"/>
    </w:pPr>
    <w:rPr>
      <w:rFonts w:asciiTheme="minorHAnsi" w:eastAsiaTheme="minorEastAsia" w:hAnsiTheme="minorHAnsi"/>
      <w:color w:val="auto"/>
    </w:rPr>
  </w:style>
  <w:style w:type="paragraph" w:styleId="TOC9">
    <w:name w:val="toc 9"/>
    <w:basedOn w:val="Normal"/>
    <w:next w:val="Normal"/>
    <w:autoRedefine/>
    <w:uiPriority w:val="39"/>
    <w:unhideWhenUsed/>
    <w:rsid w:val="00083D04"/>
    <w:pPr>
      <w:spacing w:after="100" w:line="259" w:lineRule="auto"/>
      <w:ind w:left="1760"/>
    </w:pPr>
    <w:rPr>
      <w:rFonts w:asciiTheme="minorHAnsi" w:eastAsiaTheme="minorEastAsia" w:hAnsiTheme="minorHAnsi"/>
      <w:color w:val="auto"/>
    </w:rPr>
  </w:style>
  <w:style w:type="character" w:styleId="Hyperlink">
    <w:name w:val="Hyperlink"/>
    <w:basedOn w:val="DefaultParagraphFont"/>
    <w:uiPriority w:val="99"/>
    <w:unhideWhenUsed/>
    <w:rsid w:val="00083D04"/>
    <w:rPr>
      <w:color w:val="0563C1" w:themeColor="hyperlink"/>
      <w:u w:val="single"/>
    </w:rPr>
  </w:style>
  <w:style w:type="character" w:styleId="UnresolvedMention">
    <w:name w:val="Unresolved Mention"/>
    <w:basedOn w:val="DefaultParagraphFont"/>
    <w:uiPriority w:val="99"/>
    <w:semiHidden/>
    <w:unhideWhenUsed/>
    <w:rsid w:val="00083D04"/>
    <w:rPr>
      <w:color w:val="808080"/>
      <w:shd w:val="clear" w:color="auto" w:fill="E6E6E6"/>
    </w:rPr>
  </w:style>
  <w:style w:type="paragraph" w:styleId="EndnoteText">
    <w:name w:val="endnote text"/>
    <w:basedOn w:val="Normal"/>
    <w:link w:val="EndnoteTextChar"/>
    <w:uiPriority w:val="99"/>
    <w:semiHidden/>
    <w:unhideWhenUsed/>
    <w:rsid w:val="005F55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51E"/>
    <w:rPr>
      <w:rFonts w:ascii="Arial" w:hAnsi="Arial"/>
      <w:color w:val="4D4D4D" w:themeColor="text2"/>
      <w:sz w:val="20"/>
      <w:szCs w:val="20"/>
    </w:rPr>
  </w:style>
  <w:style w:type="character" w:styleId="EndnoteReference">
    <w:name w:val="endnote reference"/>
    <w:basedOn w:val="DefaultParagraphFont"/>
    <w:uiPriority w:val="99"/>
    <w:semiHidden/>
    <w:unhideWhenUsed/>
    <w:rsid w:val="005F55D3"/>
    <w:rPr>
      <w:vertAlign w:val="superscript"/>
    </w:rPr>
  </w:style>
  <w:style w:type="character" w:styleId="CommentReference">
    <w:name w:val="annotation reference"/>
    <w:basedOn w:val="DefaultParagraphFont"/>
    <w:semiHidden/>
    <w:unhideWhenUsed/>
    <w:rsid w:val="00BA5DEE"/>
    <w:rPr>
      <w:sz w:val="16"/>
      <w:szCs w:val="16"/>
    </w:rPr>
  </w:style>
  <w:style w:type="paragraph" w:styleId="CommentText">
    <w:name w:val="annotation text"/>
    <w:basedOn w:val="Normal"/>
    <w:link w:val="CommentTextChar"/>
    <w:uiPriority w:val="99"/>
    <w:unhideWhenUsed/>
    <w:rsid w:val="00BA5DEE"/>
    <w:pPr>
      <w:spacing w:line="240" w:lineRule="auto"/>
    </w:pPr>
    <w:rPr>
      <w:sz w:val="20"/>
      <w:szCs w:val="20"/>
    </w:rPr>
  </w:style>
  <w:style w:type="character" w:customStyle="1" w:styleId="CommentTextChar">
    <w:name w:val="Comment Text Char"/>
    <w:basedOn w:val="DefaultParagraphFont"/>
    <w:link w:val="CommentText"/>
    <w:uiPriority w:val="99"/>
    <w:rsid w:val="0034751E"/>
    <w:rPr>
      <w:rFonts w:ascii="Arial" w:hAnsi="Arial"/>
      <w:color w:val="4D4D4D" w:themeColor="text2"/>
      <w:sz w:val="20"/>
      <w:szCs w:val="20"/>
    </w:rPr>
  </w:style>
  <w:style w:type="paragraph" w:styleId="CommentSubject">
    <w:name w:val="annotation subject"/>
    <w:basedOn w:val="CommentText"/>
    <w:next w:val="CommentText"/>
    <w:link w:val="CommentSubjectChar"/>
    <w:uiPriority w:val="99"/>
    <w:semiHidden/>
    <w:unhideWhenUsed/>
    <w:rsid w:val="00BA5DEE"/>
    <w:rPr>
      <w:b/>
      <w:bCs/>
    </w:rPr>
  </w:style>
  <w:style w:type="character" w:customStyle="1" w:styleId="CommentSubjectChar">
    <w:name w:val="Comment Subject Char"/>
    <w:basedOn w:val="CommentTextChar"/>
    <w:link w:val="CommentSubject"/>
    <w:uiPriority w:val="99"/>
    <w:semiHidden/>
    <w:rsid w:val="0034751E"/>
    <w:rPr>
      <w:rFonts w:ascii="Arial" w:hAnsi="Arial"/>
      <w:b/>
      <w:bCs/>
      <w:color w:val="4D4D4D" w:themeColor="text2"/>
      <w:sz w:val="20"/>
      <w:szCs w:val="20"/>
    </w:rPr>
  </w:style>
  <w:style w:type="paragraph" w:styleId="BalloonText">
    <w:name w:val="Balloon Text"/>
    <w:basedOn w:val="Normal"/>
    <w:link w:val="BalloonTextChar"/>
    <w:uiPriority w:val="99"/>
    <w:semiHidden/>
    <w:unhideWhenUsed/>
    <w:rsid w:val="00BA5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1E"/>
    <w:rPr>
      <w:rFonts w:ascii="Segoe UI" w:hAnsi="Segoe UI" w:cs="Segoe UI"/>
      <w:color w:val="4D4D4D" w:themeColor="text2"/>
      <w:sz w:val="18"/>
      <w:szCs w:val="18"/>
    </w:rPr>
  </w:style>
  <w:style w:type="paragraph" w:customStyle="1" w:styleId="Style1">
    <w:name w:val="Style1"/>
    <w:basedOn w:val="TOCHeading"/>
    <w:link w:val="Style1Char"/>
    <w:uiPriority w:val="12"/>
    <w:semiHidden/>
    <w:unhideWhenUsed/>
    <w:qFormat/>
    <w:rsid w:val="000A072C"/>
    <w:pPr>
      <w:numPr>
        <w:numId w:val="0"/>
      </w:numPr>
      <w:spacing w:after="240" w:line="360" w:lineRule="auto"/>
    </w:pPr>
    <w:rPr>
      <w:caps/>
      <w:color w:val="007DB9" w:themeColor="accent2"/>
      <w:sz w:val="36"/>
      <w:szCs w:val="26"/>
    </w:rPr>
  </w:style>
  <w:style w:type="character" w:customStyle="1" w:styleId="Style1Char">
    <w:name w:val="Style1 Char"/>
    <w:basedOn w:val="DefaultParagraphFont"/>
    <w:link w:val="Style1"/>
    <w:uiPriority w:val="12"/>
    <w:semiHidden/>
    <w:rsid w:val="005145F2"/>
    <w:rPr>
      <w:rFonts w:asciiTheme="majorHAnsi" w:eastAsiaTheme="majorEastAsia" w:hAnsiTheme="majorHAnsi" w:cstheme="majorBidi"/>
      <w:caps/>
      <w:color w:val="007DB9" w:themeColor="accent2"/>
      <w:sz w:val="36"/>
      <w:szCs w:val="26"/>
    </w:rPr>
  </w:style>
  <w:style w:type="paragraph" w:styleId="Revision">
    <w:name w:val="Revision"/>
    <w:hidden/>
    <w:uiPriority w:val="99"/>
    <w:semiHidden/>
    <w:rsid w:val="0011635D"/>
    <w:pPr>
      <w:spacing w:after="0" w:line="240" w:lineRule="auto"/>
    </w:pPr>
    <w:rPr>
      <w:rFonts w:ascii="Arial" w:hAnsi="Arial"/>
      <w:color w:val="4D4D4D" w:themeColor="text2"/>
    </w:rPr>
  </w:style>
  <w:style w:type="paragraph" w:styleId="Caption">
    <w:name w:val="caption"/>
    <w:basedOn w:val="Normal"/>
    <w:next w:val="Normal"/>
    <w:link w:val="CaptionChar"/>
    <w:uiPriority w:val="35"/>
    <w:unhideWhenUsed/>
    <w:qFormat/>
    <w:rsid w:val="006A7A75"/>
    <w:pPr>
      <w:spacing w:after="200" w:line="240" w:lineRule="auto"/>
    </w:pPr>
    <w:rPr>
      <w:rFonts w:asciiTheme="majorHAnsi" w:eastAsia="Times New Roman" w:hAnsiTheme="majorHAnsi" w:cs="Times New Roman"/>
      <w:i/>
      <w:iCs/>
      <w:sz w:val="18"/>
      <w:szCs w:val="18"/>
    </w:rPr>
  </w:style>
  <w:style w:type="character" w:styleId="PlaceholderText">
    <w:name w:val="Placeholder Text"/>
    <w:basedOn w:val="DefaultParagraphFont"/>
    <w:uiPriority w:val="99"/>
    <w:unhideWhenUsed/>
    <w:rsid w:val="001043BA"/>
    <w:rPr>
      <w:color w:val="808080"/>
    </w:rPr>
  </w:style>
  <w:style w:type="character" w:customStyle="1" w:styleId="ListParagraphChar">
    <w:name w:val="List Paragraph Char"/>
    <w:link w:val="ListParagraph"/>
    <w:uiPriority w:val="34"/>
    <w:rsid w:val="0034751E"/>
    <w:rPr>
      <w:rFonts w:ascii="Arial" w:hAnsi="Arial"/>
      <w:color w:val="4D4D4D" w:themeColor="text2"/>
    </w:rPr>
  </w:style>
  <w:style w:type="character" w:customStyle="1" w:styleId="Heading5Char">
    <w:name w:val="Heading 5 Char"/>
    <w:basedOn w:val="DefaultParagraphFont"/>
    <w:link w:val="Heading5"/>
    <w:uiPriority w:val="9"/>
    <w:rsid w:val="00E33B8A"/>
    <w:rPr>
      <w:rFonts w:asciiTheme="majorHAnsi" w:eastAsiaTheme="majorEastAsia" w:hAnsiTheme="majorHAnsi" w:cstheme="majorBidi"/>
      <w:b/>
      <w:color w:val="4D4D4D" w:themeColor="text2"/>
    </w:rPr>
  </w:style>
  <w:style w:type="table" w:styleId="TableGrid">
    <w:name w:val="Table Grid"/>
    <w:basedOn w:val="TableNormal"/>
    <w:uiPriority w:val="59"/>
    <w:rsid w:val="0026558A"/>
    <w:pPr>
      <w:spacing w:after="0" w:line="240" w:lineRule="auto"/>
    </w:pPr>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PSubHeading">
    <w:name w:val="IRP Sub Heading"/>
    <w:basedOn w:val="Normal"/>
    <w:link w:val="IRPSubHeadingChar"/>
    <w:uiPriority w:val="10"/>
    <w:semiHidden/>
    <w:unhideWhenUsed/>
    <w:qFormat/>
    <w:rsid w:val="001666F7"/>
    <w:rPr>
      <w:rFonts w:eastAsia="Times New Roman" w:cs="Arial"/>
      <w:b/>
      <w:u w:val="single"/>
    </w:rPr>
  </w:style>
  <w:style w:type="character" w:customStyle="1" w:styleId="IRPSubHeadingChar">
    <w:name w:val="IRP Sub Heading Char"/>
    <w:basedOn w:val="DefaultParagraphFont"/>
    <w:link w:val="IRPSubHeading"/>
    <w:uiPriority w:val="10"/>
    <w:semiHidden/>
    <w:rsid w:val="0034751E"/>
    <w:rPr>
      <w:rFonts w:ascii="Arial" w:eastAsia="Times New Roman" w:hAnsi="Arial" w:cs="Arial"/>
      <w:b/>
      <w:color w:val="4D4D4D" w:themeColor="text2"/>
      <w:u w:val="single"/>
    </w:rPr>
  </w:style>
  <w:style w:type="paragraph" w:styleId="List4">
    <w:name w:val="List 4"/>
    <w:basedOn w:val="Normal"/>
    <w:unhideWhenUsed/>
    <w:rsid w:val="0031444E"/>
    <w:pPr>
      <w:spacing w:after="0" w:line="240" w:lineRule="auto"/>
      <w:ind w:left="1440" w:hanging="360"/>
      <w:jc w:val="left"/>
    </w:pPr>
    <w:rPr>
      <w:rFonts w:ascii="Times New Roman" w:eastAsia="Times New Roman" w:hAnsi="Times New Roman" w:cs="Times New Roman"/>
      <w:color w:val="auto"/>
      <w:sz w:val="20"/>
      <w:szCs w:val="20"/>
    </w:rPr>
  </w:style>
  <w:style w:type="table" w:customStyle="1" w:styleId="TableGrid1">
    <w:name w:val="Table Grid1"/>
    <w:basedOn w:val="TableNormal"/>
    <w:next w:val="TableGrid"/>
    <w:uiPriority w:val="59"/>
    <w:rsid w:val="00281B25"/>
    <w:pPr>
      <w:spacing w:after="0" w:line="240" w:lineRule="auto"/>
    </w:pPr>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unhideWhenUsed/>
    <w:rsid w:val="00501C27"/>
    <w:rPr>
      <w:rFonts w:ascii="Arial" w:hAnsi="Arial" w:cs="Arial"/>
      <w:dstrike w:val="0"/>
      <w:noProof/>
      <w:color w:val="auto"/>
      <w:spacing w:val="0"/>
      <w:position w:val="0"/>
      <w:sz w:val="16"/>
      <w:szCs w:val="16"/>
      <w:u w:val="none"/>
      <w:effect w:val="none"/>
      <w:vertAlign w:val="baseline"/>
    </w:rPr>
  </w:style>
  <w:style w:type="paragraph" w:styleId="NormalWeb">
    <w:name w:val="Normal (Web)"/>
    <w:basedOn w:val="Normal"/>
    <w:uiPriority w:val="99"/>
    <w:unhideWhenUsed/>
    <w:rsid w:val="00D96962"/>
    <w:pPr>
      <w:spacing w:before="100" w:beforeAutospacing="1" w:after="100" w:afterAutospacing="1" w:line="240" w:lineRule="auto"/>
      <w:jc w:val="left"/>
    </w:pPr>
    <w:rPr>
      <w:rFonts w:ascii="Calibri" w:hAnsi="Calibri" w:cs="Calibri"/>
      <w:color w:val="auto"/>
    </w:rPr>
  </w:style>
  <w:style w:type="paragraph" w:customStyle="1" w:styleId="MainTitle">
    <w:name w:val="Main Title"/>
    <w:basedOn w:val="Style1"/>
    <w:link w:val="MainTitleChar"/>
    <w:uiPriority w:val="2"/>
    <w:qFormat/>
    <w:rsid w:val="0058673F"/>
    <w:rPr>
      <w:b/>
    </w:rPr>
  </w:style>
  <w:style w:type="paragraph" w:customStyle="1" w:styleId="Figures">
    <w:name w:val="Figures"/>
    <w:basedOn w:val="Caption"/>
    <w:link w:val="FiguresChar"/>
    <w:uiPriority w:val="11"/>
    <w:rsid w:val="00110CF3"/>
    <w:pPr>
      <w:jc w:val="center"/>
    </w:pPr>
  </w:style>
  <w:style w:type="character" w:customStyle="1" w:styleId="MainTitleChar">
    <w:name w:val="Main Title Char"/>
    <w:basedOn w:val="Style1Char"/>
    <w:link w:val="MainTitle"/>
    <w:uiPriority w:val="2"/>
    <w:rsid w:val="00807D97"/>
    <w:rPr>
      <w:rFonts w:asciiTheme="majorHAnsi" w:eastAsiaTheme="majorEastAsia" w:hAnsiTheme="majorHAnsi" w:cstheme="majorBidi"/>
      <w:b w:val="0"/>
      <w:caps/>
      <w:color w:val="007DB9" w:themeColor="accent2"/>
      <w:sz w:val="36"/>
      <w:szCs w:val="26"/>
    </w:rPr>
  </w:style>
  <w:style w:type="paragraph" w:customStyle="1" w:styleId="Footnote">
    <w:name w:val="Footnote"/>
    <w:basedOn w:val="FootnoteText"/>
    <w:link w:val="FootnoteChar"/>
    <w:uiPriority w:val="12"/>
    <w:qFormat/>
    <w:rsid w:val="00807D97"/>
    <w:pPr>
      <w:spacing w:after="0"/>
    </w:pPr>
  </w:style>
  <w:style w:type="character" w:customStyle="1" w:styleId="CaptionChar">
    <w:name w:val="Caption Char"/>
    <w:basedOn w:val="DefaultParagraphFont"/>
    <w:link w:val="Caption"/>
    <w:uiPriority w:val="35"/>
    <w:rsid w:val="006A7A75"/>
    <w:rPr>
      <w:rFonts w:asciiTheme="majorHAnsi" w:eastAsia="Times New Roman" w:hAnsiTheme="majorHAnsi" w:cs="Times New Roman"/>
      <w:i/>
      <w:iCs/>
      <w:color w:val="4D4D4D" w:themeColor="text2"/>
      <w:sz w:val="18"/>
      <w:szCs w:val="18"/>
    </w:rPr>
  </w:style>
  <w:style w:type="character" w:customStyle="1" w:styleId="FiguresChar">
    <w:name w:val="Figures Char"/>
    <w:basedOn w:val="CaptionChar"/>
    <w:link w:val="Figures"/>
    <w:uiPriority w:val="11"/>
    <w:rsid w:val="00110CF3"/>
    <w:rPr>
      <w:rFonts w:asciiTheme="majorHAnsi" w:eastAsia="Times New Roman" w:hAnsiTheme="majorHAnsi" w:cs="Times New Roman"/>
      <w:i/>
      <w:iCs/>
      <w:color w:val="4D4D4D" w:themeColor="text2"/>
      <w:sz w:val="18"/>
      <w:szCs w:val="18"/>
    </w:rPr>
  </w:style>
  <w:style w:type="paragraph" w:customStyle="1" w:styleId="Tables">
    <w:name w:val="Tables"/>
    <w:basedOn w:val="Normal"/>
    <w:link w:val="TablesChar"/>
    <w:uiPriority w:val="10"/>
    <w:qFormat/>
    <w:rsid w:val="005145F2"/>
    <w:pPr>
      <w:spacing w:line="240" w:lineRule="auto"/>
    </w:pPr>
    <w:rPr>
      <w:rFonts w:eastAsia="Times New Roman" w:cs="Arial"/>
      <w:b/>
    </w:rPr>
  </w:style>
  <w:style w:type="character" w:customStyle="1" w:styleId="FootnoteChar">
    <w:name w:val="Footnote Char"/>
    <w:basedOn w:val="FootnoteTextChar"/>
    <w:link w:val="Footnote"/>
    <w:uiPriority w:val="12"/>
    <w:rsid w:val="005145F2"/>
    <w:rPr>
      <w:rFonts w:eastAsia="Times New Roman" w:cs="Times New Roman"/>
      <w:color w:val="4D4D4D" w:themeColor="text2"/>
      <w:sz w:val="19"/>
      <w:szCs w:val="20"/>
    </w:rPr>
  </w:style>
  <w:style w:type="character" w:customStyle="1" w:styleId="TablesChar">
    <w:name w:val="Tables Char"/>
    <w:basedOn w:val="DefaultParagraphFont"/>
    <w:link w:val="Tables"/>
    <w:uiPriority w:val="10"/>
    <w:rsid w:val="005145F2"/>
    <w:rPr>
      <w:rFonts w:ascii="Arial" w:eastAsia="Times New Roman" w:hAnsi="Arial" w:cs="Arial"/>
      <w:b/>
      <w:color w:val="4D4D4D" w:themeColor="text2"/>
    </w:rPr>
  </w:style>
  <w:style w:type="paragraph" w:customStyle="1" w:styleId="1B">
    <w:name w:val="1B"/>
    <w:basedOn w:val="Heading1"/>
    <w:next w:val="Normal"/>
    <w:uiPriority w:val="7"/>
    <w:qFormat/>
    <w:rsid w:val="00A7180F"/>
    <w:pPr>
      <w:numPr>
        <w:numId w:val="27"/>
      </w:numPr>
    </w:pPr>
  </w:style>
  <w:style w:type="paragraph" w:customStyle="1" w:styleId="2B">
    <w:name w:val="2B"/>
    <w:basedOn w:val="Heading2"/>
    <w:next w:val="Normal"/>
    <w:uiPriority w:val="8"/>
    <w:qFormat/>
    <w:rsid w:val="00DE60D0"/>
    <w:pPr>
      <w:numPr>
        <w:numId w:val="27"/>
      </w:numPr>
      <w:tabs>
        <w:tab w:val="num" w:pos="1422"/>
      </w:tabs>
      <w:ind w:left="540" w:firstLine="720"/>
    </w:pPr>
  </w:style>
  <w:style w:type="character" w:styleId="FollowedHyperlink">
    <w:name w:val="FollowedHyperlink"/>
    <w:basedOn w:val="DefaultParagraphFont"/>
    <w:uiPriority w:val="99"/>
    <w:semiHidden/>
    <w:unhideWhenUsed/>
    <w:rsid w:val="0006286B"/>
    <w:rPr>
      <w:color w:val="954F72" w:themeColor="followedHyperlink"/>
      <w:u w:val="single"/>
    </w:rPr>
  </w:style>
  <w:style w:type="character" w:customStyle="1" w:styleId="spellingerror">
    <w:name w:val="spellingerror"/>
    <w:basedOn w:val="DefaultParagraphFont"/>
    <w:rsid w:val="00BD3900"/>
  </w:style>
  <w:style w:type="character" w:customStyle="1" w:styleId="findhit">
    <w:name w:val="findhit"/>
    <w:basedOn w:val="DefaultParagraphFont"/>
    <w:rsid w:val="00BD3900"/>
    <w:rPr>
      <w:shd w:val="clear" w:color="auto" w:fill="FFEE80"/>
    </w:rPr>
  </w:style>
  <w:style w:type="character" w:customStyle="1" w:styleId="normaltextrun1">
    <w:name w:val="normaltextrun1"/>
    <w:basedOn w:val="DefaultParagraphFont"/>
    <w:rsid w:val="00BD3900"/>
  </w:style>
  <w:style w:type="paragraph" w:styleId="PlainText">
    <w:name w:val="Plain Text"/>
    <w:basedOn w:val="Normal"/>
    <w:link w:val="PlainTextChar"/>
    <w:rsid w:val="00172F11"/>
    <w:pPr>
      <w:spacing w:after="0" w:line="480" w:lineRule="auto"/>
      <w:jc w:val="left"/>
    </w:pPr>
    <w:rPr>
      <w:rFonts w:ascii="Courier New" w:eastAsia="Times New Roman" w:hAnsi="Courier New" w:cs="Times New Roman"/>
      <w:color w:val="auto"/>
      <w:sz w:val="24"/>
      <w:szCs w:val="20"/>
    </w:rPr>
  </w:style>
  <w:style w:type="character" w:customStyle="1" w:styleId="PlainTextChar">
    <w:name w:val="Plain Text Char"/>
    <w:basedOn w:val="DefaultParagraphFont"/>
    <w:link w:val="PlainText"/>
    <w:rsid w:val="00172F11"/>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794">
      <w:bodyDiv w:val="1"/>
      <w:marLeft w:val="0"/>
      <w:marRight w:val="0"/>
      <w:marTop w:val="0"/>
      <w:marBottom w:val="0"/>
      <w:divBdr>
        <w:top w:val="none" w:sz="0" w:space="0" w:color="auto"/>
        <w:left w:val="none" w:sz="0" w:space="0" w:color="auto"/>
        <w:bottom w:val="none" w:sz="0" w:space="0" w:color="auto"/>
        <w:right w:val="none" w:sz="0" w:space="0" w:color="auto"/>
      </w:divBdr>
    </w:div>
    <w:div w:id="53939900">
      <w:bodyDiv w:val="1"/>
      <w:marLeft w:val="0"/>
      <w:marRight w:val="0"/>
      <w:marTop w:val="0"/>
      <w:marBottom w:val="0"/>
      <w:divBdr>
        <w:top w:val="none" w:sz="0" w:space="0" w:color="auto"/>
        <w:left w:val="none" w:sz="0" w:space="0" w:color="auto"/>
        <w:bottom w:val="none" w:sz="0" w:space="0" w:color="auto"/>
        <w:right w:val="none" w:sz="0" w:space="0" w:color="auto"/>
      </w:divBdr>
    </w:div>
    <w:div w:id="111479490">
      <w:bodyDiv w:val="1"/>
      <w:marLeft w:val="0"/>
      <w:marRight w:val="0"/>
      <w:marTop w:val="0"/>
      <w:marBottom w:val="0"/>
      <w:divBdr>
        <w:top w:val="none" w:sz="0" w:space="0" w:color="auto"/>
        <w:left w:val="none" w:sz="0" w:space="0" w:color="auto"/>
        <w:bottom w:val="none" w:sz="0" w:space="0" w:color="auto"/>
        <w:right w:val="none" w:sz="0" w:space="0" w:color="auto"/>
      </w:divBdr>
    </w:div>
    <w:div w:id="147132328">
      <w:bodyDiv w:val="1"/>
      <w:marLeft w:val="0"/>
      <w:marRight w:val="0"/>
      <w:marTop w:val="0"/>
      <w:marBottom w:val="0"/>
      <w:divBdr>
        <w:top w:val="none" w:sz="0" w:space="0" w:color="auto"/>
        <w:left w:val="none" w:sz="0" w:space="0" w:color="auto"/>
        <w:bottom w:val="none" w:sz="0" w:space="0" w:color="auto"/>
        <w:right w:val="none" w:sz="0" w:space="0" w:color="auto"/>
      </w:divBdr>
    </w:div>
    <w:div w:id="201358732">
      <w:bodyDiv w:val="1"/>
      <w:marLeft w:val="0"/>
      <w:marRight w:val="0"/>
      <w:marTop w:val="0"/>
      <w:marBottom w:val="0"/>
      <w:divBdr>
        <w:top w:val="none" w:sz="0" w:space="0" w:color="auto"/>
        <w:left w:val="none" w:sz="0" w:space="0" w:color="auto"/>
        <w:bottom w:val="none" w:sz="0" w:space="0" w:color="auto"/>
        <w:right w:val="none" w:sz="0" w:space="0" w:color="auto"/>
      </w:divBdr>
    </w:div>
    <w:div w:id="235165792">
      <w:bodyDiv w:val="1"/>
      <w:marLeft w:val="0"/>
      <w:marRight w:val="0"/>
      <w:marTop w:val="0"/>
      <w:marBottom w:val="0"/>
      <w:divBdr>
        <w:top w:val="none" w:sz="0" w:space="0" w:color="auto"/>
        <w:left w:val="none" w:sz="0" w:space="0" w:color="auto"/>
        <w:bottom w:val="none" w:sz="0" w:space="0" w:color="auto"/>
        <w:right w:val="none" w:sz="0" w:space="0" w:color="auto"/>
      </w:divBdr>
    </w:div>
    <w:div w:id="261229110">
      <w:bodyDiv w:val="1"/>
      <w:marLeft w:val="0"/>
      <w:marRight w:val="0"/>
      <w:marTop w:val="0"/>
      <w:marBottom w:val="0"/>
      <w:divBdr>
        <w:top w:val="none" w:sz="0" w:space="0" w:color="auto"/>
        <w:left w:val="none" w:sz="0" w:space="0" w:color="auto"/>
        <w:bottom w:val="none" w:sz="0" w:space="0" w:color="auto"/>
        <w:right w:val="none" w:sz="0" w:space="0" w:color="auto"/>
      </w:divBdr>
    </w:div>
    <w:div w:id="278685872">
      <w:bodyDiv w:val="1"/>
      <w:marLeft w:val="0"/>
      <w:marRight w:val="0"/>
      <w:marTop w:val="0"/>
      <w:marBottom w:val="0"/>
      <w:divBdr>
        <w:top w:val="none" w:sz="0" w:space="0" w:color="auto"/>
        <w:left w:val="none" w:sz="0" w:space="0" w:color="auto"/>
        <w:bottom w:val="none" w:sz="0" w:space="0" w:color="auto"/>
        <w:right w:val="none" w:sz="0" w:space="0" w:color="auto"/>
      </w:divBdr>
    </w:div>
    <w:div w:id="307561015">
      <w:bodyDiv w:val="1"/>
      <w:marLeft w:val="0"/>
      <w:marRight w:val="0"/>
      <w:marTop w:val="0"/>
      <w:marBottom w:val="0"/>
      <w:divBdr>
        <w:top w:val="none" w:sz="0" w:space="0" w:color="auto"/>
        <w:left w:val="none" w:sz="0" w:space="0" w:color="auto"/>
        <w:bottom w:val="none" w:sz="0" w:space="0" w:color="auto"/>
        <w:right w:val="none" w:sz="0" w:space="0" w:color="auto"/>
      </w:divBdr>
    </w:div>
    <w:div w:id="402218282">
      <w:bodyDiv w:val="1"/>
      <w:marLeft w:val="0"/>
      <w:marRight w:val="0"/>
      <w:marTop w:val="0"/>
      <w:marBottom w:val="0"/>
      <w:divBdr>
        <w:top w:val="none" w:sz="0" w:space="0" w:color="auto"/>
        <w:left w:val="none" w:sz="0" w:space="0" w:color="auto"/>
        <w:bottom w:val="none" w:sz="0" w:space="0" w:color="auto"/>
        <w:right w:val="none" w:sz="0" w:space="0" w:color="auto"/>
      </w:divBdr>
    </w:div>
    <w:div w:id="549460066">
      <w:bodyDiv w:val="1"/>
      <w:marLeft w:val="0"/>
      <w:marRight w:val="0"/>
      <w:marTop w:val="0"/>
      <w:marBottom w:val="0"/>
      <w:divBdr>
        <w:top w:val="none" w:sz="0" w:space="0" w:color="auto"/>
        <w:left w:val="none" w:sz="0" w:space="0" w:color="auto"/>
        <w:bottom w:val="none" w:sz="0" w:space="0" w:color="auto"/>
        <w:right w:val="none" w:sz="0" w:space="0" w:color="auto"/>
      </w:divBdr>
    </w:div>
    <w:div w:id="970674477">
      <w:bodyDiv w:val="1"/>
      <w:marLeft w:val="0"/>
      <w:marRight w:val="0"/>
      <w:marTop w:val="0"/>
      <w:marBottom w:val="0"/>
      <w:divBdr>
        <w:top w:val="none" w:sz="0" w:space="0" w:color="auto"/>
        <w:left w:val="none" w:sz="0" w:space="0" w:color="auto"/>
        <w:bottom w:val="none" w:sz="0" w:space="0" w:color="auto"/>
        <w:right w:val="none" w:sz="0" w:space="0" w:color="auto"/>
      </w:divBdr>
    </w:div>
    <w:div w:id="1082683220">
      <w:bodyDiv w:val="1"/>
      <w:marLeft w:val="0"/>
      <w:marRight w:val="0"/>
      <w:marTop w:val="0"/>
      <w:marBottom w:val="0"/>
      <w:divBdr>
        <w:top w:val="none" w:sz="0" w:space="0" w:color="auto"/>
        <w:left w:val="none" w:sz="0" w:space="0" w:color="auto"/>
        <w:bottom w:val="none" w:sz="0" w:space="0" w:color="auto"/>
        <w:right w:val="none" w:sz="0" w:space="0" w:color="auto"/>
      </w:divBdr>
    </w:div>
    <w:div w:id="1148060063">
      <w:bodyDiv w:val="1"/>
      <w:marLeft w:val="0"/>
      <w:marRight w:val="0"/>
      <w:marTop w:val="0"/>
      <w:marBottom w:val="0"/>
      <w:divBdr>
        <w:top w:val="none" w:sz="0" w:space="0" w:color="auto"/>
        <w:left w:val="none" w:sz="0" w:space="0" w:color="auto"/>
        <w:bottom w:val="none" w:sz="0" w:space="0" w:color="auto"/>
        <w:right w:val="none" w:sz="0" w:space="0" w:color="auto"/>
      </w:divBdr>
    </w:div>
    <w:div w:id="1164082840">
      <w:bodyDiv w:val="1"/>
      <w:marLeft w:val="0"/>
      <w:marRight w:val="0"/>
      <w:marTop w:val="0"/>
      <w:marBottom w:val="0"/>
      <w:divBdr>
        <w:top w:val="none" w:sz="0" w:space="0" w:color="auto"/>
        <w:left w:val="none" w:sz="0" w:space="0" w:color="auto"/>
        <w:bottom w:val="none" w:sz="0" w:space="0" w:color="auto"/>
        <w:right w:val="none" w:sz="0" w:space="0" w:color="auto"/>
      </w:divBdr>
    </w:div>
    <w:div w:id="1191918427">
      <w:bodyDiv w:val="1"/>
      <w:marLeft w:val="0"/>
      <w:marRight w:val="0"/>
      <w:marTop w:val="0"/>
      <w:marBottom w:val="0"/>
      <w:divBdr>
        <w:top w:val="none" w:sz="0" w:space="0" w:color="auto"/>
        <w:left w:val="none" w:sz="0" w:space="0" w:color="auto"/>
        <w:bottom w:val="none" w:sz="0" w:space="0" w:color="auto"/>
        <w:right w:val="none" w:sz="0" w:space="0" w:color="auto"/>
      </w:divBdr>
    </w:div>
    <w:div w:id="1439059774">
      <w:bodyDiv w:val="1"/>
      <w:marLeft w:val="0"/>
      <w:marRight w:val="0"/>
      <w:marTop w:val="0"/>
      <w:marBottom w:val="0"/>
      <w:divBdr>
        <w:top w:val="none" w:sz="0" w:space="0" w:color="auto"/>
        <w:left w:val="none" w:sz="0" w:space="0" w:color="auto"/>
        <w:bottom w:val="none" w:sz="0" w:space="0" w:color="auto"/>
        <w:right w:val="none" w:sz="0" w:space="0" w:color="auto"/>
      </w:divBdr>
    </w:div>
    <w:div w:id="1466240398">
      <w:bodyDiv w:val="1"/>
      <w:marLeft w:val="0"/>
      <w:marRight w:val="0"/>
      <w:marTop w:val="0"/>
      <w:marBottom w:val="0"/>
      <w:divBdr>
        <w:top w:val="none" w:sz="0" w:space="0" w:color="auto"/>
        <w:left w:val="none" w:sz="0" w:space="0" w:color="auto"/>
        <w:bottom w:val="none" w:sz="0" w:space="0" w:color="auto"/>
        <w:right w:val="none" w:sz="0" w:space="0" w:color="auto"/>
      </w:divBdr>
    </w:div>
    <w:div w:id="1556770743">
      <w:bodyDiv w:val="1"/>
      <w:marLeft w:val="0"/>
      <w:marRight w:val="0"/>
      <w:marTop w:val="0"/>
      <w:marBottom w:val="0"/>
      <w:divBdr>
        <w:top w:val="none" w:sz="0" w:space="0" w:color="auto"/>
        <w:left w:val="none" w:sz="0" w:space="0" w:color="auto"/>
        <w:bottom w:val="none" w:sz="0" w:space="0" w:color="auto"/>
        <w:right w:val="none" w:sz="0" w:space="0" w:color="auto"/>
      </w:divBdr>
    </w:div>
    <w:div w:id="1632202692">
      <w:bodyDiv w:val="1"/>
      <w:marLeft w:val="0"/>
      <w:marRight w:val="0"/>
      <w:marTop w:val="0"/>
      <w:marBottom w:val="0"/>
      <w:divBdr>
        <w:top w:val="none" w:sz="0" w:space="0" w:color="auto"/>
        <w:left w:val="none" w:sz="0" w:space="0" w:color="auto"/>
        <w:bottom w:val="none" w:sz="0" w:space="0" w:color="auto"/>
        <w:right w:val="none" w:sz="0" w:space="0" w:color="auto"/>
      </w:divBdr>
    </w:div>
    <w:div w:id="20351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image" Target="cid:image003.png@01D4B22E.ED176480" TargetMode="Externa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eorgiapower.com" TargetMode="External"/><Relationship Id="rId22" Type="http://schemas.openxmlformats.org/officeDocument/2006/relationships/footer" Target="footer9.xml"/><Relationship Id="rId27" Type="http://schemas.openxmlformats.org/officeDocument/2006/relationships/hyperlink" Target="https://www.nerc.com/files/glossary_of_terms.pdf"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Brand">
      <a:dk1>
        <a:sysClr val="windowText" lastClr="000000"/>
      </a:dk1>
      <a:lt1>
        <a:sysClr val="window" lastClr="FFFFFF"/>
      </a:lt1>
      <a:dk2>
        <a:srgbClr val="4D4D4D"/>
      </a:dk2>
      <a:lt2>
        <a:srgbClr val="E7E6E6"/>
      </a:lt2>
      <a:accent1>
        <a:srgbClr val="EC1C24"/>
      </a:accent1>
      <a:accent2>
        <a:srgbClr val="007DB9"/>
      </a:accent2>
      <a:accent3>
        <a:srgbClr val="00BCF1"/>
      </a:accent3>
      <a:accent4>
        <a:srgbClr val="B2D235"/>
      </a:accent4>
      <a:accent5>
        <a:srgbClr val="00B5AF"/>
      </a:accent5>
      <a:accent6>
        <a:srgbClr val="FDB714"/>
      </a:accent6>
      <a:hlink>
        <a:srgbClr val="0563C1"/>
      </a:hlink>
      <a:folHlink>
        <a:srgbClr val="954F72"/>
      </a:folHlink>
    </a:clrScheme>
    <a:fontScheme name="New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15BE-2157-4B61-85B2-7144D4C7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154</Pages>
  <Words>45791</Words>
  <Characters>261009</Characters>
  <Application>Microsoft Office Word</Application>
  <DocSecurity>0</DocSecurity>
  <Lines>2175</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2019-01-29T19:10:00Z</dcterms:created>
  <dcterms:modified xsi:type="dcterms:W3CDTF">2019-01-30T17:22:00Z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